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E76FD1" w14:textId="77777777" w:rsidR="007014EE" w:rsidRDefault="007014EE" w:rsidP="007014EE">
      <w:pPr>
        <w:pStyle w:val="aRetrait"/>
        <w:numPr>
          <w:ilvl w:val="0"/>
          <w:numId w:val="0"/>
        </w:numPr>
        <w:ind w:left="2771" w:hanging="360"/>
      </w:pPr>
      <w:r>
        <w:rPr>
          <w:noProof/>
          <w:lang w:eastAsia="fr-FR" w:bidi="ar-SA"/>
        </w:rPr>
        <w:drawing>
          <wp:anchor distT="0" distB="0" distL="114300" distR="114300" simplePos="0" relativeHeight="251703296" behindDoc="0" locked="0" layoutInCell="1" allowOverlap="1" wp14:anchorId="1B71DE90" wp14:editId="7A73EDEF">
            <wp:simplePos x="0" y="0"/>
            <wp:positionH relativeFrom="margin">
              <wp:posOffset>313055</wp:posOffset>
            </wp:positionH>
            <wp:positionV relativeFrom="paragraph">
              <wp:posOffset>114300</wp:posOffset>
            </wp:positionV>
            <wp:extent cx="1657350" cy="447675"/>
            <wp:effectExtent l="0" t="0" r="0" b="9525"/>
            <wp:wrapSquare wrapText="bothSides"/>
            <wp:docPr id="3"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png"/>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657350" cy="447675"/>
                    </a:xfrm>
                    <a:prstGeom prst="rect">
                      <a:avLst/>
                    </a:prstGeom>
                    <a:ln/>
                  </pic:spPr>
                </pic:pic>
              </a:graphicData>
            </a:graphic>
            <wp14:sizeRelH relativeFrom="margin">
              <wp14:pctWidth>0</wp14:pctWidth>
            </wp14:sizeRelH>
            <wp14:sizeRelV relativeFrom="margin">
              <wp14:pctHeight>0</wp14:pctHeight>
            </wp14:sizeRelV>
          </wp:anchor>
        </w:drawing>
      </w:r>
    </w:p>
    <w:tbl>
      <w:tblPr>
        <w:tblpPr w:leftFromText="141" w:rightFromText="141" w:vertAnchor="text" w:horzAnchor="margin" w:tblpXSpec="right" w:tblpY="-24"/>
        <w:tblW w:w="0" w:type="auto"/>
        <w:tblLook w:val="04A0" w:firstRow="1" w:lastRow="0" w:firstColumn="1" w:lastColumn="0" w:noHBand="0" w:noVBand="1"/>
      </w:tblPr>
      <w:tblGrid>
        <w:gridCol w:w="4268"/>
      </w:tblGrid>
      <w:tr w:rsidR="007014EE" w:rsidRPr="007A4B19" w14:paraId="06B3BA20" w14:textId="77777777" w:rsidTr="00EB271C">
        <w:trPr>
          <w:trHeight w:val="790"/>
        </w:trPr>
        <w:tc>
          <w:tcPr>
            <w:tcW w:w="4268" w:type="dxa"/>
            <w:shd w:val="clear" w:color="auto" w:fill="auto"/>
          </w:tcPr>
          <w:p w14:paraId="04B99027" w14:textId="77777777" w:rsidR="007014EE" w:rsidRPr="005C7202" w:rsidRDefault="007014EE" w:rsidP="00EB271C">
            <w:pPr>
              <w:tabs>
                <w:tab w:val="left" w:pos="9923"/>
              </w:tabs>
              <w:spacing w:before="40"/>
              <w:ind w:right="567"/>
              <w:jc w:val="left"/>
              <w:rPr>
                <w:rFonts w:ascii="Arial Narrow" w:hAnsi="Arial Narrow" w:cstheme="minorHAnsi"/>
                <w:b/>
                <w:bCs/>
                <w:color w:val="333333"/>
              </w:rPr>
            </w:pPr>
            <w:r>
              <w:rPr>
                <w:rFonts w:cs="Segoe UI"/>
                <w:b/>
                <w:color w:val="404040"/>
              </w:rPr>
              <w:t xml:space="preserve">Agence Urbanisme </w:t>
            </w:r>
            <w:r w:rsidRPr="005C7202">
              <w:rPr>
                <w:rFonts w:cs="Segoe UI"/>
                <w:b/>
                <w:color w:val="404040"/>
              </w:rPr>
              <w:t>Ville et Territoire</w:t>
            </w:r>
            <w:r>
              <w:rPr>
                <w:rFonts w:cstheme="minorHAnsi"/>
                <w:b/>
                <w:bCs/>
                <w:color w:val="333333"/>
              </w:rPr>
              <w:t xml:space="preserve"> </w:t>
            </w:r>
          </w:p>
          <w:p w14:paraId="5DDBD8F2" w14:textId="77777777" w:rsidR="007014EE" w:rsidRDefault="007014EE" w:rsidP="00EB271C">
            <w:pPr>
              <w:spacing w:before="0"/>
              <w:rPr>
                <w:rFonts w:cs="Segoe UI"/>
              </w:rPr>
            </w:pPr>
            <w:r w:rsidRPr="007A4B19">
              <w:rPr>
                <w:rFonts w:cs="Segoe UI"/>
              </w:rPr>
              <w:t>7 Rue Pascal</w:t>
            </w:r>
          </w:p>
          <w:p w14:paraId="561E9F45" w14:textId="77777777" w:rsidR="007014EE" w:rsidRPr="007A4B19" w:rsidRDefault="007014EE" w:rsidP="00EB271C">
            <w:pPr>
              <w:spacing w:before="0"/>
              <w:rPr>
                <w:rFonts w:cs="Segoe UI"/>
              </w:rPr>
            </w:pPr>
            <w:r>
              <w:rPr>
                <w:rFonts w:cs="Segoe UI"/>
              </w:rPr>
              <w:t>Parc du Chêne</w:t>
            </w:r>
          </w:p>
          <w:p w14:paraId="6FD0EE5C" w14:textId="77777777" w:rsidR="007014EE" w:rsidRPr="007A4B19" w:rsidRDefault="007014EE" w:rsidP="00EB271C">
            <w:pPr>
              <w:spacing w:before="0"/>
              <w:rPr>
                <w:rFonts w:cs="Segoe UI"/>
                <w:color w:val="404040"/>
              </w:rPr>
            </w:pPr>
            <w:r w:rsidRPr="007A4B19">
              <w:rPr>
                <w:rFonts w:cs="Segoe UI"/>
              </w:rPr>
              <w:t xml:space="preserve">69500 Bron </w:t>
            </w:r>
            <w:r>
              <w:rPr>
                <w:rFonts w:cs="Segoe UI"/>
              </w:rPr>
              <w:t>- FRANCE</w:t>
            </w:r>
          </w:p>
          <w:p w14:paraId="3D552686" w14:textId="77777777" w:rsidR="007014EE" w:rsidRPr="007A4B19" w:rsidRDefault="007014EE" w:rsidP="00EB271C">
            <w:pPr>
              <w:spacing w:before="0"/>
              <w:rPr>
                <w:rFonts w:cs="Segoe UI"/>
                <w:color w:val="404040"/>
              </w:rPr>
            </w:pPr>
          </w:p>
        </w:tc>
      </w:tr>
    </w:tbl>
    <w:p w14:paraId="37F81021" w14:textId="77777777" w:rsidR="007014EE" w:rsidRDefault="007014EE" w:rsidP="007014EE">
      <w:pPr>
        <w:spacing w:before="0" w:after="100" w:afterAutospacing="1"/>
        <w:rPr>
          <w:rStyle w:val="Emphaseple"/>
          <w:rFonts w:cs="Tahoma"/>
          <w:sz w:val="16"/>
        </w:rPr>
      </w:pPr>
    </w:p>
    <w:p w14:paraId="428F85CC" w14:textId="77777777" w:rsidR="007014EE" w:rsidRDefault="007014EE" w:rsidP="007014EE">
      <w:pPr>
        <w:pStyle w:val="Liste"/>
        <w:spacing w:after="0"/>
        <w:jc w:val="center"/>
      </w:pPr>
      <w:r>
        <w:t xml:space="preserve"> </w:t>
      </w:r>
    </w:p>
    <w:p w14:paraId="170CCBB6" w14:textId="77777777" w:rsidR="007014EE" w:rsidRDefault="007014EE" w:rsidP="007014EE">
      <w:pPr>
        <w:pStyle w:val="Liste"/>
        <w:spacing w:after="0"/>
        <w:jc w:val="center"/>
      </w:pPr>
    </w:p>
    <w:p w14:paraId="60EFCE78" w14:textId="77777777" w:rsidR="007014EE" w:rsidRDefault="007014EE" w:rsidP="007014EE">
      <w:pPr>
        <w:pStyle w:val="Liste"/>
        <w:spacing w:after="0"/>
        <w:jc w:val="center"/>
      </w:pPr>
    </w:p>
    <w:p w14:paraId="6AD0CB20" w14:textId="77777777" w:rsidR="007014EE" w:rsidRDefault="007014EE" w:rsidP="007014EE">
      <w:pPr>
        <w:pStyle w:val="Liste"/>
        <w:spacing w:after="0"/>
        <w:jc w:val="center"/>
      </w:pPr>
    </w:p>
    <w:p w14:paraId="670D7C4A" w14:textId="77777777" w:rsidR="007014EE" w:rsidRDefault="007014EE" w:rsidP="007014EE">
      <w:pPr>
        <w:pStyle w:val="Liste"/>
        <w:spacing w:after="0"/>
        <w:jc w:val="center"/>
      </w:pPr>
    </w:p>
    <w:p w14:paraId="0B6611DB" w14:textId="77777777" w:rsidR="007014EE" w:rsidRDefault="007014EE" w:rsidP="007014EE">
      <w:pPr>
        <w:pStyle w:val="Liste"/>
        <w:spacing w:after="0"/>
        <w:jc w:val="center"/>
      </w:pPr>
      <w:bookmarkStart w:id="0" w:name="_GoBack"/>
      <w:bookmarkEnd w:id="0"/>
    </w:p>
    <w:p w14:paraId="65C7B268" w14:textId="77777777" w:rsidR="007014EE" w:rsidRDefault="007014EE" w:rsidP="007014EE">
      <w:pPr>
        <w:pStyle w:val="Liste"/>
        <w:spacing w:after="0"/>
        <w:jc w:val="center"/>
      </w:pPr>
    </w:p>
    <w:p w14:paraId="3914344C" w14:textId="77777777" w:rsidR="007014EE" w:rsidRDefault="007014EE" w:rsidP="007014EE">
      <w:pPr>
        <w:pStyle w:val="Liste"/>
        <w:spacing w:after="0"/>
        <w:jc w:val="center"/>
      </w:pPr>
    </w:p>
    <w:p w14:paraId="57270C64" w14:textId="77777777" w:rsidR="007014EE" w:rsidRDefault="007014EE" w:rsidP="007014EE">
      <w:pPr>
        <w:pStyle w:val="Liste"/>
        <w:spacing w:after="0"/>
        <w:jc w:val="center"/>
      </w:pPr>
    </w:p>
    <w:p w14:paraId="10134ECB" w14:textId="77777777" w:rsidR="007014EE" w:rsidRDefault="007014EE" w:rsidP="007014EE">
      <w:pPr>
        <w:pStyle w:val="Liste"/>
        <w:spacing w:after="0"/>
        <w:jc w:val="center"/>
      </w:pPr>
    </w:p>
    <w:p w14:paraId="4FC27BE4" w14:textId="77777777" w:rsidR="007014EE" w:rsidRDefault="007014EE" w:rsidP="007014EE">
      <w:pPr>
        <w:pStyle w:val="Liste"/>
        <w:spacing w:after="0"/>
        <w:jc w:val="center"/>
      </w:pPr>
    </w:p>
    <w:p w14:paraId="7317B1DE" w14:textId="77777777" w:rsidR="007014EE" w:rsidRDefault="007014EE" w:rsidP="007014EE">
      <w:pPr>
        <w:pStyle w:val="Liste"/>
        <w:spacing w:after="0"/>
        <w:jc w:val="center"/>
      </w:pPr>
    </w:p>
    <w:p w14:paraId="6F0F7BE5" w14:textId="77777777" w:rsidR="007014EE" w:rsidRDefault="007014EE" w:rsidP="007014EE">
      <w:pPr>
        <w:pStyle w:val="Liste"/>
        <w:spacing w:after="0"/>
        <w:jc w:val="center"/>
      </w:pPr>
    </w:p>
    <w:p w14:paraId="4010EFE9" w14:textId="77777777" w:rsidR="007014EE" w:rsidRDefault="007014EE" w:rsidP="007014EE">
      <w:pPr>
        <w:pStyle w:val="Sous-titregris"/>
        <w:spacing w:before="0"/>
        <w:rPr>
          <w:color w:val="404040"/>
          <w:sz w:val="36"/>
          <w:szCs w:val="30"/>
        </w:rPr>
      </w:pPr>
    </w:p>
    <w:p w14:paraId="64D090E3" w14:textId="77777777" w:rsidR="007014EE" w:rsidRDefault="007014EE" w:rsidP="007014EE">
      <w:pPr>
        <w:pStyle w:val="Sous-titregris"/>
        <w:spacing w:before="0"/>
        <w:jc w:val="left"/>
        <w:rPr>
          <w:color w:val="404040" w:themeColor="text1" w:themeTint="BF"/>
          <w:sz w:val="36"/>
          <w:szCs w:val="30"/>
        </w:rPr>
      </w:pPr>
    </w:p>
    <w:p w14:paraId="30534D1A" w14:textId="77777777" w:rsidR="007014EE" w:rsidRDefault="007014EE" w:rsidP="007014EE">
      <w:pPr>
        <w:pStyle w:val="Emphaserouge"/>
        <w:spacing w:before="360" w:after="240"/>
        <w:rPr>
          <w:b/>
          <w:color w:val="0070C0"/>
          <w:sz w:val="28"/>
          <w:szCs w:val="28"/>
        </w:rPr>
      </w:pPr>
    </w:p>
    <w:p w14:paraId="06C1A2DC" w14:textId="77777777" w:rsidR="007014EE" w:rsidRDefault="00DE13D9" w:rsidP="007014EE">
      <w:pPr>
        <w:pStyle w:val="Emphaserouge"/>
        <w:spacing w:before="360" w:after="240"/>
        <w:rPr>
          <w:b/>
          <w:color w:val="0070C0"/>
          <w:sz w:val="28"/>
          <w:szCs w:val="28"/>
        </w:rPr>
      </w:pPr>
      <w:r w:rsidRPr="007D43B6">
        <w:rPr>
          <w:noProof/>
        </w:rPr>
        <mc:AlternateContent>
          <mc:Choice Requires="wps">
            <w:drawing>
              <wp:anchor distT="0" distB="0" distL="114300" distR="114300" simplePos="0" relativeHeight="251704320" behindDoc="0" locked="0" layoutInCell="1" allowOverlap="1" wp14:anchorId="4C7BEFCC" wp14:editId="49AB3642">
                <wp:simplePos x="0" y="0"/>
                <wp:positionH relativeFrom="margin">
                  <wp:align>center</wp:align>
                </wp:positionH>
                <wp:positionV relativeFrom="margin">
                  <wp:posOffset>3917950</wp:posOffset>
                </wp:positionV>
                <wp:extent cx="4629150" cy="2103755"/>
                <wp:effectExtent l="0" t="0" r="0" b="0"/>
                <wp:wrapSquare wrapText="bothSides"/>
                <wp:docPr id="29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150" cy="21037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AEF7D" w14:textId="77777777" w:rsidR="00826277" w:rsidRDefault="00826277" w:rsidP="007014EE">
                            <w:pPr>
                              <w:pStyle w:val="Titrecouverture"/>
                              <w:shd w:val="clear" w:color="auto" w:fill="CCCCCC"/>
                              <w:rPr>
                                <w:rFonts w:ascii="Arial Narrow" w:hAnsi="Arial Narrow"/>
                                <w:color w:val="4D4D4D"/>
                                <w:sz w:val="40"/>
                              </w:rPr>
                            </w:pPr>
                            <w:r>
                              <w:rPr>
                                <w:rFonts w:ascii="Arial Narrow" w:hAnsi="Arial Narrow"/>
                                <w:color w:val="4D4D4D"/>
                                <w:sz w:val="40"/>
                              </w:rPr>
                              <w:t>Commune de les Billaux</w:t>
                            </w:r>
                          </w:p>
                          <w:p w14:paraId="4DC28672" w14:textId="77777777" w:rsidR="00826277" w:rsidRDefault="00826277" w:rsidP="007014EE">
                            <w:pPr>
                              <w:pStyle w:val="Soustitredecouverture"/>
                              <w:pBdr>
                                <w:bottom w:val="single" w:sz="4" w:space="12" w:color="333333"/>
                              </w:pBdr>
                            </w:pPr>
                          </w:p>
                          <w:p w14:paraId="3AAC9CF4" w14:textId="77777777" w:rsidR="00826277" w:rsidRDefault="00826277" w:rsidP="007014EE">
                            <w:pPr>
                              <w:pStyle w:val="Soustitredecouverture"/>
                              <w:pBdr>
                                <w:bottom w:val="single" w:sz="4" w:space="12" w:color="333333"/>
                              </w:pBdr>
                            </w:pPr>
                            <w:r>
                              <w:t xml:space="preserve">Plan Local d’Urbanisme </w:t>
                            </w:r>
                          </w:p>
                          <w:p w14:paraId="0B0E18CE" w14:textId="77777777" w:rsidR="00826277" w:rsidRDefault="00826277" w:rsidP="007014EE">
                            <w:pPr>
                              <w:pStyle w:val="Soustitredecouverture"/>
                              <w:pBdr>
                                <w:bottom w:val="none" w:sz="0" w:space="0" w:color="auto"/>
                              </w:pBdr>
                              <w:spacing w:before="240"/>
                              <w:ind w:left="0" w:right="0"/>
                            </w:pPr>
                            <w:r>
                              <w:t>Procédure de modification n°1</w:t>
                            </w:r>
                          </w:p>
                          <w:p w14:paraId="36DA5A59" w14:textId="77777777" w:rsidR="00826277" w:rsidRDefault="00826277" w:rsidP="007014EE">
                            <w:pPr>
                              <w:pStyle w:val="Soustitredecouverture"/>
                              <w:pBdr>
                                <w:bottom w:val="none" w:sz="0" w:space="0" w:color="auto"/>
                              </w:pBdr>
                              <w:spacing w:before="240"/>
                              <w:ind w:left="0" w:right="0"/>
                            </w:pPr>
                            <w:r>
                              <w:t>Note détaillée d’auto-evaluation</w:t>
                            </w:r>
                          </w:p>
                          <w:p w14:paraId="71C8D50E" w14:textId="77777777" w:rsidR="00826277" w:rsidRPr="00CB099A" w:rsidRDefault="00826277" w:rsidP="007014EE">
                            <w:pPr>
                              <w:pStyle w:val="Soustitredecouverture"/>
                              <w:pBdr>
                                <w:bottom w:val="none" w:sz="0" w:space="0" w:color="auto"/>
                              </w:pBdr>
                              <w:spacing w:before="240"/>
                              <w:ind w:left="0" w:right="0"/>
                              <w:rPr>
                                <w:sz w:val="20"/>
                              </w:rPr>
                            </w:pPr>
                          </w:p>
                          <w:p w14:paraId="40A27A4A" w14:textId="77777777" w:rsidR="00826277" w:rsidRDefault="00826277" w:rsidP="007014EE">
                            <w:pPr>
                              <w:jc w:val="center"/>
                              <w:rPr>
                                <w:color w:val="4D4D4D"/>
                              </w:rPr>
                            </w:pPr>
                          </w:p>
                          <w:p w14:paraId="343A3AA1" w14:textId="77777777" w:rsidR="00826277" w:rsidRDefault="00826277" w:rsidP="007014EE">
                            <w:pPr>
                              <w:jc w:val="center"/>
                            </w:pP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type w14:anchorId="4C7BEFCC" id="_x0000_t202" coordsize="21600,21600" o:spt="202" path="m,l,21600r21600,l21600,xe">
                <v:stroke joinstyle="miter"/>
                <v:path gradientshapeok="t" o:connecttype="rect"/>
              </v:shapetype>
              <v:shape id="Text Box 2" o:spid="_x0000_s1026" type="#_x0000_t202" style="position:absolute;left:0;text-align:left;margin-left:0;margin-top:308.5pt;width:364.5pt;height:165.65pt;z-index:251704320;visibility:visible;mso-wrap-style:square;mso-height-percent:0;mso-wrap-distance-left:9pt;mso-wrap-distance-top:0;mso-wrap-distance-right:9pt;mso-wrap-distance-bottom:0;mso-position-horizontal:center;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QLtwIAAL0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" filled="f" stroked="f">
                <v:textbox>
                  <w:txbxContent>
                    <w:p w14:paraId="78FAEF7D" w14:textId="77777777" w:rsidR="00826277" w:rsidRDefault="00826277" w:rsidP="007014EE">
                      <w:pPr>
                        <w:pStyle w:val="Titrecouverture"/>
                        <w:shd w:val="clear" w:color="auto" w:fill="CCCCCC"/>
                        <w:rPr>
                          <w:rFonts w:ascii="Arial Narrow" w:hAnsi="Arial Narrow"/>
                          <w:color w:val="4D4D4D"/>
                          <w:sz w:val="40"/>
                        </w:rPr>
                      </w:pPr>
                      <w:r>
                        <w:rPr>
                          <w:rFonts w:ascii="Arial Narrow" w:hAnsi="Arial Narrow"/>
                          <w:color w:val="4D4D4D"/>
                          <w:sz w:val="40"/>
                        </w:rPr>
                        <w:t xml:space="preserve">Commune de les </w:t>
                      </w:r>
                      <w:proofErr w:type="spellStart"/>
                      <w:r>
                        <w:rPr>
                          <w:rFonts w:ascii="Arial Narrow" w:hAnsi="Arial Narrow"/>
                          <w:color w:val="4D4D4D"/>
                          <w:sz w:val="40"/>
                        </w:rPr>
                        <w:t>Billaux</w:t>
                      </w:r>
                      <w:proofErr w:type="spellEnd"/>
                    </w:p>
                    <w:p w14:paraId="4DC28672" w14:textId="77777777" w:rsidR="00826277" w:rsidRDefault="00826277" w:rsidP="007014EE">
                      <w:pPr>
                        <w:pStyle w:val="Soustitredecouverture"/>
                        <w:pBdr>
                          <w:bottom w:val="single" w:sz="4" w:space="12" w:color="333333"/>
                        </w:pBdr>
                      </w:pPr>
                    </w:p>
                    <w:p w14:paraId="3AAC9CF4" w14:textId="77777777" w:rsidR="00826277" w:rsidRDefault="00826277" w:rsidP="007014EE">
                      <w:pPr>
                        <w:pStyle w:val="Soustitredecouverture"/>
                        <w:pBdr>
                          <w:bottom w:val="single" w:sz="4" w:space="12" w:color="333333"/>
                        </w:pBdr>
                      </w:pPr>
                      <w:r>
                        <w:t xml:space="preserve">Plan Local d’Urbanisme </w:t>
                      </w:r>
                    </w:p>
                    <w:p w14:paraId="0B0E18CE" w14:textId="77777777" w:rsidR="00826277" w:rsidRDefault="00826277" w:rsidP="007014EE">
                      <w:pPr>
                        <w:pStyle w:val="Soustitredecouverture"/>
                        <w:pBdr>
                          <w:bottom w:val="none" w:sz="0" w:space="0" w:color="auto"/>
                        </w:pBdr>
                        <w:spacing w:before="240"/>
                        <w:ind w:left="0" w:right="0"/>
                      </w:pPr>
                      <w:r>
                        <w:t>Procédure de modification n°1</w:t>
                      </w:r>
                    </w:p>
                    <w:p w14:paraId="36DA5A59" w14:textId="77777777" w:rsidR="00826277" w:rsidRDefault="00826277" w:rsidP="007014EE">
                      <w:pPr>
                        <w:pStyle w:val="Soustitredecouverture"/>
                        <w:pBdr>
                          <w:bottom w:val="none" w:sz="0" w:space="0" w:color="auto"/>
                        </w:pBdr>
                        <w:spacing w:before="240"/>
                        <w:ind w:left="0" w:right="0"/>
                      </w:pPr>
                      <w:r>
                        <w:t>Note détaillée d’</w:t>
                      </w:r>
                      <w:proofErr w:type="spellStart"/>
                      <w:r>
                        <w:t>auto-evaluation</w:t>
                      </w:r>
                      <w:proofErr w:type="spellEnd"/>
                    </w:p>
                    <w:p w14:paraId="71C8D50E" w14:textId="77777777" w:rsidR="00826277" w:rsidRPr="00CB099A" w:rsidRDefault="00826277" w:rsidP="007014EE">
                      <w:pPr>
                        <w:pStyle w:val="Soustitredecouverture"/>
                        <w:pBdr>
                          <w:bottom w:val="none" w:sz="0" w:space="0" w:color="auto"/>
                        </w:pBdr>
                        <w:spacing w:before="240"/>
                        <w:ind w:left="0" w:right="0"/>
                        <w:rPr>
                          <w:sz w:val="20"/>
                        </w:rPr>
                      </w:pPr>
                    </w:p>
                    <w:p w14:paraId="40A27A4A" w14:textId="77777777" w:rsidR="00826277" w:rsidRDefault="00826277" w:rsidP="007014EE">
                      <w:pPr>
                        <w:jc w:val="center"/>
                        <w:rPr>
                          <w:color w:val="4D4D4D"/>
                        </w:rPr>
                      </w:pPr>
                    </w:p>
                    <w:p w14:paraId="343A3AA1" w14:textId="77777777" w:rsidR="00826277" w:rsidRDefault="00826277" w:rsidP="007014EE">
                      <w:pPr>
                        <w:jc w:val="center"/>
                      </w:pPr>
                    </w:p>
                  </w:txbxContent>
                </v:textbox>
                <w10:wrap type="square" anchorx="margin" anchory="margin"/>
              </v:shape>
            </w:pict>
          </mc:Fallback>
        </mc:AlternateContent>
      </w:r>
    </w:p>
    <w:p w14:paraId="4D917F2E" w14:textId="77777777" w:rsidR="007014EE" w:rsidRDefault="007014EE" w:rsidP="007014EE">
      <w:pPr>
        <w:pStyle w:val="Emphaserouge"/>
        <w:spacing w:before="360" w:after="240"/>
        <w:rPr>
          <w:b/>
          <w:color w:val="0070C0"/>
          <w:sz w:val="28"/>
          <w:szCs w:val="28"/>
        </w:rPr>
      </w:pPr>
    </w:p>
    <w:p w14:paraId="61C8D675" w14:textId="77777777" w:rsidR="007014EE" w:rsidRDefault="007014EE" w:rsidP="007014EE">
      <w:pPr>
        <w:pStyle w:val="Emphaserouge"/>
        <w:spacing w:before="360" w:after="240"/>
        <w:rPr>
          <w:b/>
          <w:color w:val="0070C0"/>
          <w:sz w:val="28"/>
          <w:szCs w:val="28"/>
        </w:rPr>
      </w:pPr>
    </w:p>
    <w:p w14:paraId="70D84308" w14:textId="77777777" w:rsidR="0051086C" w:rsidRDefault="0051086C" w:rsidP="0051086C"/>
    <w:tbl>
      <w:tblPr>
        <w:tblpPr w:leftFromText="141" w:rightFromText="141" w:vertAnchor="text" w:horzAnchor="margin" w:tblpY="8233"/>
        <w:tblW w:w="9460" w:type="dxa"/>
        <w:tblBorders>
          <w:top w:val="single" w:sz="4" w:space="0" w:color="10827D"/>
          <w:left w:val="single" w:sz="4" w:space="0" w:color="10827D"/>
          <w:bottom w:val="single" w:sz="4" w:space="0" w:color="10827D"/>
          <w:right w:val="single" w:sz="4" w:space="0" w:color="10827D"/>
          <w:insideH w:val="single" w:sz="4" w:space="0" w:color="10827D"/>
          <w:insideV w:val="single" w:sz="4" w:space="0" w:color="10827D"/>
        </w:tblBorders>
        <w:tblLayout w:type="fixed"/>
        <w:tblCellMar>
          <w:left w:w="70" w:type="dxa"/>
          <w:right w:w="70" w:type="dxa"/>
        </w:tblCellMar>
        <w:tblLook w:val="0000" w:firstRow="0" w:lastRow="0" w:firstColumn="0" w:lastColumn="0" w:noHBand="0" w:noVBand="0"/>
      </w:tblPr>
      <w:tblGrid>
        <w:gridCol w:w="3695"/>
        <w:gridCol w:w="5765"/>
      </w:tblGrid>
      <w:tr w:rsidR="008D1D1A" w:rsidRPr="002C7FA9" w14:paraId="4A686D6B" w14:textId="77777777" w:rsidTr="007014EE">
        <w:trPr>
          <w:trHeight w:val="495"/>
        </w:trPr>
        <w:tc>
          <w:tcPr>
            <w:tcW w:w="9460" w:type="dxa"/>
            <w:gridSpan w:val="2"/>
            <w:shd w:val="clear" w:color="auto" w:fill="D9E2F3" w:themeFill="accent5" w:themeFillTint="33"/>
          </w:tcPr>
          <w:p w14:paraId="339085C4" w14:textId="77777777" w:rsidR="008D1D1A" w:rsidRPr="002C7FA9" w:rsidRDefault="00A37573" w:rsidP="00E53597">
            <w:pPr>
              <w:snapToGrid w:val="0"/>
              <w:spacing w:after="120"/>
              <w:jc w:val="center"/>
              <w:rPr>
                <w:rFonts w:ascii="Corbel" w:hAnsi="Corbel"/>
                <w:b/>
                <w:bCs/>
              </w:rPr>
            </w:pPr>
            <w:r>
              <w:rPr>
                <w:rFonts w:ascii="Corbel" w:hAnsi="Corbel"/>
                <w:b/>
                <w:bCs/>
              </w:rPr>
              <w:lastRenderedPageBreak/>
              <w:t xml:space="preserve">Modification </w:t>
            </w:r>
            <w:r w:rsidR="007014EE">
              <w:rPr>
                <w:rFonts w:ascii="Corbel" w:hAnsi="Corbel"/>
                <w:b/>
                <w:bCs/>
              </w:rPr>
              <w:t>n°</w:t>
            </w:r>
            <w:r w:rsidR="00E53597">
              <w:rPr>
                <w:rFonts w:ascii="Corbel" w:hAnsi="Corbel"/>
                <w:b/>
                <w:bCs/>
              </w:rPr>
              <w:t>1 du  PLU</w:t>
            </w:r>
            <w:r w:rsidR="007014EE">
              <w:rPr>
                <w:rFonts w:ascii="Corbel" w:hAnsi="Corbel"/>
                <w:b/>
                <w:bCs/>
              </w:rPr>
              <w:t xml:space="preserve"> </w:t>
            </w:r>
            <w:r w:rsidR="00E53597">
              <w:rPr>
                <w:rFonts w:ascii="Corbel" w:hAnsi="Corbel"/>
                <w:b/>
                <w:bCs/>
              </w:rPr>
              <w:t>de Les Billaux</w:t>
            </w:r>
          </w:p>
        </w:tc>
      </w:tr>
      <w:tr w:rsidR="008D1D1A" w:rsidRPr="009658B2" w14:paraId="5541D85B" w14:textId="77777777" w:rsidTr="00480FD9">
        <w:trPr>
          <w:trHeight w:val="495"/>
        </w:trPr>
        <w:tc>
          <w:tcPr>
            <w:tcW w:w="3695" w:type="dxa"/>
            <w:shd w:val="clear" w:color="auto" w:fill="D9E2F3" w:themeFill="accent5" w:themeFillTint="33"/>
            <w:vAlign w:val="center"/>
          </w:tcPr>
          <w:p w14:paraId="233A8B13" w14:textId="77777777" w:rsidR="008D1D1A" w:rsidRPr="00C55C58" w:rsidRDefault="008D1D1A" w:rsidP="00FC3AC3">
            <w:pPr>
              <w:snapToGrid w:val="0"/>
              <w:spacing w:after="120"/>
              <w:rPr>
                <w:rFonts w:ascii="Corbel" w:hAnsi="Corbel"/>
                <w:b/>
              </w:rPr>
            </w:pPr>
            <w:r w:rsidRPr="00C55C58">
              <w:rPr>
                <w:rFonts w:ascii="Corbel" w:hAnsi="Corbel"/>
                <w:b/>
              </w:rPr>
              <w:t>Nom du fichier</w:t>
            </w:r>
          </w:p>
        </w:tc>
        <w:tc>
          <w:tcPr>
            <w:tcW w:w="5765" w:type="dxa"/>
          </w:tcPr>
          <w:p w14:paraId="17F60C48" w14:textId="77777777" w:rsidR="008D1D1A" w:rsidRPr="009658B2" w:rsidRDefault="008D1D1A" w:rsidP="00FC3AC3">
            <w:pPr>
              <w:snapToGrid w:val="0"/>
              <w:spacing w:after="120"/>
              <w:jc w:val="center"/>
              <w:rPr>
                <w:rFonts w:ascii="Corbel" w:hAnsi="Corbel"/>
                <w:b/>
                <w:bCs/>
              </w:rPr>
            </w:pPr>
            <w:r>
              <w:rPr>
                <w:rFonts w:ascii="Corbel" w:hAnsi="Corbel"/>
                <w:b/>
                <w:bCs/>
              </w:rPr>
              <w:t>Examen au cas par cas : Note détaillée</w:t>
            </w:r>
          </w:p>
        </w:tc>
      </w:tr>
      <w:tr w:rsidR="008D1D1A" w:rsidRPr="002C7FA9" w14:paraId="32F1B851" w14:textId="77777777" w:rsidTr="00480FD9">
        <w:trPr>
          <w:trHeight w:val="465"/>
        </w:trPr>
        <w:tc>
          <w:tcPr>
            <w:tcW w:w="3695" w:type="dxa"/>
            <w:shd w:val="clear" w:color="auto" w:fill="D9E2F3" w:themeFill="accent5" w:themeFillTint="33"/>
            <w:vAlign w:val="center"/>
          </w:tcPr>
          <w:p w14:paraId="5A160FB8" w14:textId="77777777" w:rsidR="008D1D1A" w:rsidRPr="00C55C58" w:rsidRDefault="008D1D1A" w:rsidP="00FC3AC3">
            <w:pPr>
              <w:snapToGrid w:val="0"/>
              <w:spacing w:after="120"/>
              <w:rPr>
                <w:rFonts w:ascii="Corbel" w:hAnsi="Corbel"/>
                <w:b/>
              </w:rPr>
            </w:pPr>
            <w:r w:rsidRPr="00C55C58">
              <w:rPr>
                <w:rFonts w:ascii="Corbel" w:hAnsi="Corbel"/>
                <w:b/>
              </w:rPr>
              <w:t>Version</w:t>
            </w:r>
          </w:p>
        </w:tc>
        <w:tc>
          <w:tcPr>
            <w:tcW w:w="5765" w:type="dxa"/>
          </w:tcPr>
          <w:p w14:paraId="1B65FEEE" w14:textId="189D6F4F" w:rsidR="008D1D1A" w:rsidRPr="002C7FA9" w:rsidRDefault="00B86469" w:rsidP="00FC3AC3">
            <w:pPr>
              <w:snapToGrid w:val="0"/>
              <w:spacing w:after="120"/>
              <w:jc w:val="center"/>
              <w:rPr>
                <w:rFonts w:ascii="Corbel" w:hAnsi="Corbel"/>
              </w:rPr>
            </w:pPr>
            <w:r>
              <w:rPr>
                <w:rFonts w:ascii="Corbel" w:hAnsi="Corbel"/>
              </w:rPr>
              <w:fldChar w:fldCharType="begin"/>
            </w:r>
            <w:r>
              <w:rPr>
                <w:rFonts w:ascii="Corbel" w:hAnsi="Corbel"/>
              </w:rPr>
              <w:instrText xml:space="preserve"> TIME \@ "dd/MM/yyyy" </w:instrText>
            </w:r>
            <w:r>
              <w:rPr>
                <w:rFonts w:ascii="Corbel" w:hAnsi="Corbel"/>
              </w:rPr>
              <w:fldChar w:fldCharType="separate"/>
            </w:r>
            <w:r w:rsidR="00B672F3">
              <w:rPr>
                <w:rFonts w:ascii="Corbel" w:hAnsi="Corbel"/>
                <w:noProof/>
              </w:rPr>
              <w:t>13/06/2024</w:t>
            </w:r>
            <w:r>
              <w:rPr>
                <w:rFonts w:ascii="Corbel" w:hAnsi="Corbel"/>
              </w:rPr>
              <w:fldChar w:fldCharType="end"/>
            </w:r>
          </w:p>
        </w:tc>
      </w:tr>
      <w:tr w:rsidR="00480FD9" w:rsidRPr="00320D9F" w14:paraId="7CDE2683" w14:textId="77777777" w:rsidTr="00EB271C">
        <w:trPr>
          <w:trHeight w:val="495"/>
        </w:trPr>
        <w:tc>
          <w:tcPr>
            <w:tcW w:w="3695" w:type="dxa"/>
            <w:shd w:val="clear" w:color="auto" w:fill="D9E2F3" w:themeFill="accent5" w:themeFillTint="33"/>
            <w:vAlign w:val="center"/>
          </w:tcPr>
          <w:p w14:paraId="7E38DCAE" w14:textId="77777777" w:rsidR="00480FD9" w:rsidRPr="00C55C58" w:rsidRDefault="00480FD9" w:rsidP="00FC3AC3">
            <w:pPr>
              <w:snapToGrid w:val="0"/>
              <w:spacing w:after="120"/>
              <w:rPr>
                <w:rFonts w:ascii="Corbel" w:hAnsi="Corbel"/>
                <w:b/>
              </w:rPr>
            </w:pPr>
            <w:r w:rsidRPr="00C55C58">
              <w:rPr>
                <w:rFonts w:ascii="Corbel" w:hAnsi="Corbel"/>
                <w:b/>
              </w:rPr>
              <w:t>Rédacteur</w:t>
            </w:r>
            <w:r>
              <w:rPr>
                <w:rFonts w:ascii="Corbel" w:hAnsi="Corbel"/>
                <w:b/>
              </w:rPr>
              <w:t xml:space="preserve"> </w:t>
            </w:r>
          </w:p>
        </w:tc>
        <w:tc>
          <w:tcPr>
            <w:tcW w:w="5765" w:type="dxa"/>
          </w:tcPr>
          <w:p w14:paraId="6676F692" w14:textId="77777777" w:rsidR="00480FD9" w:rsidRPr="00320D9F" w:rsidRDefault="00102464" w:rsidP="00FC3AC3">
            <w:pPr>
              <w:pStyle w:val="Dpart-Suivi"/>
              <w:snapToGrid w:val="0"/>
              <w:spacing w:after="120"/>
              <w:jc w:val="center"/>
              <w:rPr>
                <w:rFonts w:ascii="Corbel" w:hAnsi="Corbel"/>
                <w:sz w:val="20"/>
                <w:szCs w:val="20"/>
              </w:rPr>
            </w:pPr>
            <w:r>
              <w:rPr>
                <w:rFonts w:ascii="Corbel" w:hAnsi="Corbel"/>
                <w:sz w:val="20"/>
                <w:szCs w:val="20"/>
              </w:rPr>
              <w:t>ER</w:t>
            </w:r>
          </w:p>
        </w:tc>
      </w:tr>
      <w:tr w:rsidR="008D1D1A" w:rsidRPr="00320D9F" w14:paraId="2FA784F9" w14:textId="77777777" w:rsidTr="00480FD9">
        <w:trPr>
          <w:trHeight w:val="495"/>
        </w:trPr>
        <w:tc>
          <w:tcPr>
            <w:tcW w:w="3695" w:type="dxa"/>
            <w:shd w:val="clear" w:color="auto" w:fill="D9E2F3" w:themeFill="accent5" w:themeFillTint="33"/>
            <w:vAlign w:val="center"/>
          </w:tcPr>
          <w:p w14:paraId="717869DF" w14:textId="77777777" w:rsidR="008D1D1A" w:rsidRPr="00C55C58" w:rsidRDefault="008D1D1A" w:rsidP="00FC3AC3">
            <w:pPr>
              <w:snapToGrid w:val="0"/>
              <w:spacing w:after="120"/>
              <w:rPr>
                <w:rFonts w:ascii="Corbel" w:hAnsi="Corbel"/>
                <w:b/>
              </w:rPr>
            </w:pPr>
            <w:r>
              <w:rPr>
                <w:rFonts w:ascii="Corbel" w:hAnsi="Corbel"/>
                <w:b/>
              </w:rPr>
              <w:t>Vérificateur</w:t>
            </w:r>
          </w:p>
        </w:tc>
        <w:tc>
          <w:tcPr>
            <w:tcW w:w="5765" w:type="dxa"/>
          </w:tcPr>
          <w:p w14:paraId="33827AA3" w14:textId="77777777" w:rsidR="008D1D1A" w:rsidRPr="00320D9F" w:rsidRDefault="007014EE" w:rsidP="00FC3AC3">
            <w:pPr>
              <w:pStyle w:val="Dpart-Suivi"/>
              <w:snapToGrid w:val="0"/>
              <w:spacing w:after="120"/>
              <w:jc w:val="center"/>
              <w:rPr>
                <w:rFonts w:ascii="Corbel" w:hAnsi="Corbel"/>
                <w:sz w:val="20"/>
                <w:szCs w:val="20"/>
              </w:rPr>
            </w:pPr>
            <w:r>
              <w:rPr>
                <w:rFonts w:ascii="Corbel" w:hAnsi="Corbel"/>
                <w:sz w:val="20"/>
                <w:szCs w:val="20"/>
              </w:rPr>
              <w:t>MABA</w:t>
            </w:r>
          </w:p>
        </w:tc>
      </w:tr>
      <w:tr w:rsidR="008D1D1A" w:rsidRPr="00320D9F" w14:paraId="0EAC3289" w14:textId="77777777" w:rsidTr="00480FD9">
        <w:trPr>
          <w:trHeight w:val="495"/>
        </w:trPr>
        <w:tc>
          <w:tcPr>
            <w:tcW w:w="3695" w:type="dxa"/>
            <w:shd w:val="clear" w:color="auto" w:fill="D9E2F3" w:themeFill="accent5" w:themeFillTint="33"/>
            <w:vAlign w:val="center"/>
          </w:tcPr>
          <w:p w14:paraId="48A5226B" w14:textId="77777777" w:rsidR="008D1D1A" w:rsidRDefault="008D1D1A" w:rsidP="00FC3AC3">
            <w:pPr>
              <w:snapToGrid w:val="0"/>
              <w:spacing w:after="120"/>
              <w:rPr>
                <w:rFonts w:ascii="Corbel" w:hAnsi="Corbel"/>
                <w:b/>
              </w:rPr>
            </w:pPr>
            <w:r>
              <w:rPr>
                <w:rFonts w:ascii="Corbel" w:hAnsi="Corbel"/>
                <w:b/>
              </w:rPr>
              <w:t>Approbateur</w:t>
            </w:r>
          </w:p>
        </w:tc>
        <w:tc>
          <w:tcPr>
            <w:tcW w:w="5765" w:type="dxa"/>
          </w:tcPr>
          <w:p w14:paraId="0226342C" w14:textId="77777777" w:rsidR="008D1D1A" w:rsidRPr="00320D9F" w:rsidRDefault="00917E2E" w:rsidP="00FC3AC3">
            <w:pPr>
              <w:pStyle w:val="Dpart-Suivi"/>
              <w:snapToGrid w:val="0"/>
              <w:spacing w:after="120"/>
              <w:jc w:val="center"/>
              <w:rPr>
                <w:rFonts w:ascii="Corbel" w:hAnsi="Corbel"/>
                <w:sz w:val="20"/>
                <w:szCs w:val="20"/>
              </w:rPr>
            </w:pPr>
            <w:r>
              <w:rPr>
                <w:rFonts w:ascii="Corbel" w:hAnsi="Corbel"/>
                <w:sz w:val="20"/>
                <w:szCs w:val="20"/>
              </w:rPr>
              <w:t>BEP</w:t>
            </w:r>
          </w:p>
        </w:tc>
      </w:tr>
    </w:tbl>
    <w:p w14:paraId="7F1B6E3C" w14:textId="77777777" w:rsidR="0051086C" w:rsidRDefault="008D1D1A" w:rsidP="00BD7D75">
      <w:pPr>
        <w:pStyle w:val="Soustitredecouverture"/>
        <w:framePr w:w="0" w:hRule="auto" w:hSpace="0" w:wrap="auto" w:vAnchor="margin" w:hAnchor="text" w:xAlign="left" w:yAlign="inline"/>
        <w:pBdr>
          <w:bottom w:val="single" w:sz="12" w:space="4" w:color="0070C0"/>
        </w:pBdr>
        <w:spacing w:before="240"/>
        <w:ind w:left="0" w:right="0"/>
      </w:pPr>
      <w:r>
        <w:br w:type="page"/>
      </w:r>
    </w:p>
    <w:p w14:paraId="5A60FB0B" w14:textId="77777777" w:rsidR="001061FB" w:rsidRDefault="00255C1A" w:rsidP="00DE4B26">
      <w:pPr>
        <w:ind w:left="-851"/>
      </w:pPr>
      <w:r>
        <w:rPr>
          <w:noProof/>
        </w:rPr>
        <w:lastRenderedPageBreak/>
        <mc:AlternateContent>
          <mc:Choice Requires="wps">
            <w:drawing>
              <wp:anchor distT="0" distB="0" distL="114300" distR="114300" simplePos="0" relativeHeight="251724800" behindDoc="0" locked="0" layoutInCell="1" allowOverlap="1" wp14:anchorId="484D50F3" wp14:editId="59276559">
                <wp:simplePos x="0" y="0"/>
                <wp:positionH relativeFrom="column">
                  <wp:posOffset>-541020</wp:posOffset>
                </wp:positionH>
                <wp:positionV relativeFrom="paragraph">
                  <wp:posOffset>78105</wp:posOffset>
                </wp:positionV>
                <wp:extent cx="6583045" cy="5855970"/>
                <wp:effectExtent l="0" t="0" r="27305" b="1143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83045" cy="5855970"/>
                        </a:xfrm>
                        <a:prstGeom prst="rect">
                          <a:avLst/>
                        </a:prstGeom>
                        <a:solidFill>
                          <a:srgbClr val="FFFFFF"/>
                        </a:solidFill>
                        <a:ln w="9525">
                          <a:solidFill>
                            <a:srgbClr val="000000"/>
                          </a:solidFill>
                          <a:miter lim="800000"/>
                          <a:headEnd/>
                          <a:tailEnd/>
                        </a:ln>
                      </wps:spPr>
                      <wps:txbx>
                        <w:txbxContent>
                          <w:p w14:paraId="3A27D8F0" w14:textId="77777777" w:rsidR="00826277" w:rsidRPr="00255C1A" w:rsidRDefault="00826277" w:rsidP="00255C1A">
                            <w:pPr>
                              <w:rPr>
                                <w:b/>
                                <w:i/>
                              </w:rPr>
                            </w:pPr>
                            <w:r>
                              <w:rPr>
                                <w:b/>
                                <w:i/>
                              </w:rPr>
                              <w:t>Rappel des critères à prendre en considération (extrait de l’a</w:t>
                            </w:r>
                            <w:r w:rsidRPr="00255C1A">
                              <w:rPr>
                                <w:b/>
                                <w:i/>
                              </w:rPr>
                              <w:t>nnexe II de la Directive 2001/42/CE du Parlement européen et du Conseil du 27 juin 2001 relative à l'évaluation des incidences de certains plans et programmes sur l'environnement</w:t>
                            </w:r>
                            <w:r>
                              <w:rPr>
                                <w:b/>
                                <w:i/>
                              </w:rPr>
                              <w:t>)</w:t>
                            </w:r>
                          </w:p>
                          <w:p w14:paraId="25BA3B51" w14:textId="77777777" w:rsidR="00826277" w:rsidRPr="0036312F" w:rsidRDefault="00826277" w:rsidP="00255C1A">
                            <w:pPr>
                              <w:rPr>
                                <w:i/>
                              </w:rPr>
                            </w:pPr>
                            <w:r w:rsidRPr="0036312F">
                              <w:rPr>
                                <w:i/>
                              </w:rPr>
                              <w:t>1. Les caractéristiques des plans et programmes, notamment :</w:t>
                            </w:r>
                          </w:p>
                          <w:p w14:paraId="74825AE1" w14:textId="77777777" w:rsidR="00826277" w:rsidRPr="0036312F" w:rsidRDefault="00826277" w:rsidP="00255C1A">
                            <w:pPr>
                              <w:rPr>
                                <w:i/>
                              </w:rPr>
                            </w:pPr>
                            <w:r w:rsidRPr="0036312F">
                              <w:rPr>
                                <w:i/>
                              </w:rPr>
                              <w:t>- la mesure dans laquelle le plan ou programme concerné définit un cadre pour d'autres projets ou activités, en ce qui concerne la localisation, la nature, la taille et les conditions de fonctionnement ou par une allocation de ressources,</w:t>
                            </w:r>
                          </w:p>
                          <w:p w14:paraId="47E55C61" w14:textId="77777777" w:rsidR="00826277" w:rsidRPr="0036312F" w:rsidRDefault="00826277" w:rsidP="00255C1A">
                            <w:pPr>
                              <w:rPr>
                                <w:i/>
                              </w:rPr>
                            </w:pPr>
                            <w:r w:rsidRPr="0036312F">
                              <w:rPr>
                                <w:i/>
                              </w:rPr>
                              <w:t>- la mesure dans laquelle un plan ou un programme influence d'autres plans ou programmes, y compris ceux qui font partie d'un ensemble hiérarchisé,</w:t>
                            </w:r>
                          </w:p>
                          <w:p w14:paraId="4515CBC8" w14:textId="77777777" w:rsidR="00826277" w:rsidRPr="0036312F" w:rsidRDefault="00826277" w:rsidP="00255C1A">
                            <w:pPr>
                              <w:rPr>
                                <w:i/>
                              </w:rPr>
                            </w:pPr>
                            <w:r w:rsidRPr="0036312F">
                              <w:rPr>
                                <w:i/>
                              </w:rPr>
                              <w:t>- l'adéquation entre le plan ou le programme et l'intégration des considérations environnementales, en vue, notamment de promouvoir un développement durable,</w:t>
                            </w:r>
                          </w:p>
                          <w:p w14:paraId="703789A0" w14:textId="77777777" w:rsidR="00826277" w:rsidRPr="0036312F" w:rsidRDefault="00826277" w:rsidP="00255C1A">
                            <w:pPr>
                              <w:rPr>
                                <w:i/>
                              </w:rPr>
                            </w:pPr>
                            <w:r w:rsidRPr="0036312F">
                              <w:rPr>
                                <w:i/>
                              </w:rPr>
                              <w:t>- les problèmes environnementaux liés au plan ou au programme,</w:t>
                            </w:r>
                          </w:p>
                          <w:p w14:paraId="1DA7B464" w14:textId="77777777" w:rsidR="00826277" w:rsidRPr="0036312F" w:rsidRDefault="00826277" w:rsidP="00255C1A">
                            <w:pPr>
                              <w:rPr>
                                <w:i/>
                              </w:rPr>
                            </w:pPr>
                            <w:r w:rsidRPr="0036312F">
                              <w:rPr>
                                <w:i/>
                              </w:rPr>
                              <w:t>- l'adéquation entre le plan ou le programme et la mise en œuvre de la législation communautaire relative à l'environnement (par exemple les plans et programmes touchant à la gestion des déchets et à la protection de l'eau).</w:t>
                            </w:r>
                          </w:p>
                          <w:p w14:paraId="45C01E25" w14:textId="77777777" w:rsidR="00826277" w:rsidRPr="0036312F" w:rsidRDefault="00826277" w:rsidP="00255C1A">
                            <w:pPr>
                              <w:rPr>
                                <w:i/>
                              </w:rPr>
                            </w:pPr>
                            <w:r w:rsidRPr="0036312F">
                              <w:rPr>
                                <w:i/>
                              </w:rPr>
                              <w:t>2. Caractéristiques des incidences et de la zone susceptible d'être touchée, notamment :</w:t>
                            </w:r>
                          </w:p>
                          <w:p w14:paraId="765145A8" w14:textId="77777777" w:rsidR="00826277" w:rsidRPr="0036312F" w:rsidRDefault="00826277" w:rsidP="00255C1A">
                            <w:pPr>
                              <w:rPr>
                                <w:i/>
                              </w:rPr>
                            </w:pPr>
                            <w:r w:rsidRPr="0036312F">
                              <w:rPr>
                                <w:i/>
                              </w:rPr>
                              <w:t>- la probabilité, la durée, la fréquence et le caractère réversible des incidences,</w:t>
                            </w:r>
                          </w:p>
                          <w:p w14:paraId="26EA4488" w14:textId="77777777" w:rsidR="00826277" w:rsidRPr="0036312F" w:rsidRDefault="00826277" w:rsidP="00255C1A">
                            <w:pPr>
                              <w:rPr>
                                <w:i/>
                              </w:rPr>
                            </w:pPr>
                            <w:r w:rsidRPr="0036312F">
                              <w:rPr>
                                <w:i/>
                              </w:rPr>
                              <w:t>- le caractère cumulatif des incidences,</w:t>
                            </w:r>
                          </w:p>
                          <w:p w14:paraId="0453CAAF" w14:textId="77777777" w:rsidR="00826277" w:rsidRPr="0036312F" w:rsidRDefault="00826277" w:rsidP="00255C1A">
                            <w:pPr>
                              <w:rPr>
                                <w:i/>
                              </w:rPr>
                            </w:pPr>
                            <w:r w:rsidRPr="0036312F">
                              <w:rPr>
                                <w:i/>
                              </w:rPr>
                              <w:t>- la nature transfront</w:t>
                            </w:r>
                            <w:r w:rsidR="00B4481E">
                              <w:rPr>
                                <w:i/>
                              </w:rPr>
                              <w:t>al</w:t>
                            </w:r>
                            <w:r w:rsidRPr="0036312F">
                              <w:rPr>
                                <w:i/>
                              </w:rPr>
                              <w:t>ière des incidences,</w:t>
                            </w:r>
                          </w:p>
                          <w:p w14:paraId="1D9354AC" w14:textId="77777777" w:rsidR="00826277" w:rsidRPr="0036312F" w:rsidRDefault="00826277" w:rsidP="00255C1A">
                            <w:pPr>
                              <w:rPr>
                                <w:i/>
                              </w:rPr>
                            </w:pPr>
                            <w:r w:rsidRPr="0036312F">
                              <w:rPr>
                                <w:i/>
                              </w:rPr>
                              <w:t>- les risques pour la santé humaine ou pour l'environnement (à cause d'accidents, par exemple),</w:t>
                            </w:r>
                          </w:p>
                          <w:p w14:paraId="38240DB2" w14:textId="77777777" w:rsidR="00826277" w:rsidRPr="0036312F" w:rsidRDefault="00826277" w:rsidP="00255C1A">
                            <w:pPr>
                              <w:rPr>
                                <w:i/>
                              </w:rPr>
                            </w:pPr>
                            <w:r w:rsidRPr="0036312F">
                              <w:rPr>
                                <w:i/>
                              </w:rPr>
                              <w:t>- la magnitude et l'étendue spatiale géographique des incidences (zone géographique et taille de la population susceptible d'être touchée),</w:t>
                            </w:r>
                          </w:p>
                          <w:p w14:paraId="5A2E3CE1" w14:textId="77777777" w:rsidR="00826277" w:rsidRPr="0036312F" w:rsidRDefault="00826277" w:rsidP="00255C1A">
                            <w:pPr>
                              <w:rPr>
                                <w:i/>
                              </w:rPr>
                            </w:pPr>
                            <w:r w:rsidRPr="0036312F">
                              <w:rPr>
                                <w:i/>
                              </w:rPr>
                              <w:t>- la valeur et la vulnérabilité de la zone susceptible d'être touchée, en raison</w:t>
                            </w:r>
                            <w:r>
                              <w:rPr>
                                <w:i/>
                              </w:rPr>
                              <w:t xml:space="preserve"> </w:t>
                            </w:r>
                            <w:r w:rsidRPr="0036312F">
                              <w:rPr>
                                <w:i/>
                              </w:rPr>
                              <w:t>:</w:t>
                            </w:r>
                          </w:p>
                          <w:p w14:paraId="3AE26E10" w14:textId="77777777" w:rsidR="00826277" w:rsidRPr="0036312F" w:rsidRDefault="00826277" w:rsidP="00255C1A">
                            <w:pPr>
                              <w:rPr>
                                <w:i/>
                              </w:rPr>
                            </w:pPr>
                            <w:r w:rsidRPr="0036312F">
                              <w:rPr>
                                <w:i/>
                              </w:rPr>
                              <w:t>- de caractéristiques naturelles ou d'un patrimoine culturel particuliers,</w:t>
                            </w:r>
                          </w:p>
                          <w:p w14:paraId="1BA52BFD" w14:textId="77777777" w:rsidR="00826277" w:rsidRPr="0036312F" w:rsidRDefault="00826277" w:rsidP="00255C1A">
                            <w:pPr>
                              <w:rPr>
                                <w:i/>
                              </w:rPr>
                            </w:pPr>
                            <w:r w:rsidRPr="0036312F">
                              <w:rPr>
                                <w:i/>
                              </w:rPr>
                              <w:t>- d'un dépassement des normes de qualité environnementales ou des valeurs limites,</w:t>
                            </w:r>
                          </w:p>
                          <w:p w14:paraId="2A954A06" w14:textId="77777777" w:rsidR="00826277" w:rsidRPr="0036312F" w:rsidRDefault="00826277" w:rsidP="00255C1A">
                            <w:pPr>
                              <w:rPr>
                                <w:i/>
                              </w:rPr>
                            </w:pPr>
                            <w:r w:rsidRPr="0036312F">
                              <w:rPr>
                                <w:i/>
                              </w:rPr>
                              <w:t>- de l'exploitation intensive des sols,</w:t>
                            </w:r>
                          </w:p>
                          <w:p w14:paraId="3C459C1A" w14:textId="77777777" w:rsidR="00826277" w:rsidRPr="00255C1A" w:rsidRDefault="00826277" w:rsidP="00255C1A">
                            <w:pPr>
                              <w:rPr>
                                <w:i/>
                              </w:rPr>
                            </w:pPr>
                            <w:r w:rsidRPr="0036312F">
                              <w:rPr>
                                <w:i/>
                              </w:rPr>
                              <w:t>- les incidences pour des zones ou des paysages jouissant d'un statut de protection reconnu au niveau national, communautaire ou international.</w:t>
                            </w:r>
                          </w:p>
                        </w:txbxContent>
                      </wps:txbx>
                      <wps:bodyPr rot="0" vert="horz" wrap="square" lIns="91440" tIns="45720" rIns="91440" bIns="45720" anchor="t" anchorCtr="0">
                        <a:noAutofit/>
                      </wps:bodyPr>
                    </wps:wsp>
                  </a:graphicData>
                </a:graphic>
              </wp:anchor>
            </w:drawing>
          </mc:Choice>
          <mc:Fallback>
            <w:pict>
              <v:shape w14:anchorId="484D50F3" id="_x0000_s1027" type="#_x0000_t202" style="position:absolute;left:0;text-align:left;margin-left:-42.6pt;margin-top:6.15pt;width:518.35pt;height:461.1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">
                <v:textbox>
                  <w:txbxContent>
                    <w:p w14:paraId="3A27D8F0" w14:textId="77777777" w:rsidR="00826277" w:rsidRPr="00255C1A" w:rsidRDefault="00826277" w:rsidP="00255C1A">
                      <w:pPr>
                        <w:rPr>
                          <w:b/>
                          <w:i/>
                        </w:rPr>
                      </w:pPr>
                      <w:r>
                        <w:rPr>
                          <w:b/>
                          <w:i/>
                        </w:rPr>
                        <w:t>Rappel des critères à prendre en considération (extrait de l’a</w:t>
                      </w:r>
                      <w:r w:rsidRPr="00255C1A">
                        <w:rPr>
                          <w:b/>
                          <w:i/>
                        </w:rPr>
                        <w:t>nnexe II de la Directive 2001/42/CE du Parlement européen et du Conseil du 27 juin 2001 relative à l'évaluation des incidences de certains plans et programmes sur l'environnement</w:t>
                      </w:r>
                      <w:r>
                        <w:rPr>
                          <w:b/>
                          <w:i/>
                        </w:rPr>
                        <w:t>)</w:t>
                      </w:r>
                    </w:p>
                    <w:p w14:paraId="25BA3B51" w14:textId="77777777" w:rsidR="00826277" w:rsidRPr="0036312F" w:rsidRDefault="00826277" w:rsidP="00255C1A">
                      <w:pPr>
                        <w:rPr>
                          <w:i/>
                        </w:rPr>
                      </w:pPr>
                      <w:r w:rsidRPr="0036312F">
                        <w:rPr>
                          <w:i/>
                        </w:rPr>
                        <w:t>1. Les caractéristiques des plans et programmes, notamment :</w:t>
                      </w:r>
                    </w:p>
                    <w:p w14:paraId="74825AE1" w14:textId="77777777" w:rsidR="00826277" w:rsidRPr="0036312F" w:rsidRDefault="00826277" w:rsidP="00255C1A">
                      <w:pPr>
                        <w:rPr>
                          <w:i/>
                        </w:rPr>
                      </w:pPr>
                      <w:r w:rsidRPr="0036312F">
                        <w:rPr>
                          <w:i/>
                        </w:rPr>
                        <w:t>- la mesure dans laquelle le plan ou programme concerné définit un cadre pour d'autres projets ou activités, en ce qui concerne la localisation, la nature, la taille et les conditions de fonctionnement ou par une allocation de ressources,</w:t>
                      </w:r>
                    </w:p>
                    <w:p w14:paraId="47E55C61" w14:textId="77777777" w:rsidR="00826277" w:rsidRPr="0036312F" w:rsidRDefault="00826277" w:rsidP="00255C1A">
                      <w:pPr>
                        <w:rPr>
                          <w:i/>
                        </w:rPr>
                      </w:pPr>
                      <w:r w:rsidRPr="0036312F">
                        <w:rPr>
                          <w:i/>
                        </w:rPr>
                        <w:t>- la mesure dans laquelle un plan ou un programme influence d'autres plans ou programmes, y compris ceux qui font partie d'un ensemble hiérarchisé,</w:t>
                      </w:r>
                    </w:p>
                    <w:p w14:paraId="4515CBC8" w14:textId="77777777" w:rsidR="00826277" w:rsidRPr="0036312F" w:rsidRDefault="00826277" w:rsidP="00255C1A">
                      <w:pPr>
                        <w:rPr>
                          <w:i/>
                        </w:rPr>
                      </w:pPr>
                      <w:r w:rsidRPr="0036312F">
                        <w:rPr>
                          <w:i/>
                        </w:rPr>
                        <w:t>- l'adéquation entre le plan ou le programme et l'intégration des considérations environnementales, en vue, notamment de promouvoir un développement durable,</w:t>
                      </w:r>
                    </w:p>
                    <w:p w14:paraId="703789A0" w14:textId="77777777" w:rsidR="00826277" w:rsidRPr="0036312F" w:rsidRDefault="00826277" w:rsidP="00255C1A">
                      <w:pPr>
                        <w:rPr>
                          <w:i/>
                        </w:rPr>
                      </w:pPr>
                      <w:r w:rsidRPr="0036312F">
                        <w:rPr>
                          <w:i/>
                        </w:rPr>
                        <w:t>- les problèmes environnementaux liés au plan ou au programme,</w:t>
                      </w:r>
                    </w:p>
                    <w:p w14:paraId="1DA7B464" w14:textId="77777777" w:rsidR="00826277" w:rsidRPr="0036312F" w:rsidRDefault="00826277" w:rsidP="00255C1A">
                      <w:pPr>
                        <w:rPr>
                          <w:i/>
                        </w:rPr>
                      </w:pPr>
                      <w:r w:rsidRPr="0036312F">
                        <w:rPr>
                          <w:i/>
                        </w:rPr>
                        <w:t>- l'adéquation entre le plan ou le programme et la mise en œuvre de la législation communautaire relative à l'environnement (par exemple les plans et programmes touchant à la gestion des déchets et à la protection de l'eau).</w:t>
                      </w:r>
                    </w:p>
                    <w:p w14:paraId="45C01E25" w14:textId="77777777" w:rsidR="00826277" w:rsidRPr="0036312F" w:rsidRDefault="00826277" w:rsidP="00255C1A">
                      <w:pPr>
                        <w:rPr>
                          <w:i/>
                        </w:rPr>
                      </w:pPr>
                      <w:r w:rsidRPr="0036312F">
                        <w:rPr>
                          <w:i/>
                        </w:rPr>
                        <w:t>2. Caractéristiques des incidences et de la zone susceptible d'être touchée, notamment :</w:t>
                      </w:r>
                    </w:p>
                    <w:p w14:paraId="765145A8" w14:textId="77777777" w:rsidR="00826277" w:rsidRPr="0036312F" w:rsidRDefault="00826277" w:rsidP="00255C1A">
                      <w:pPr>
                        <w:rPr>
                          <w:i/>
                        </w:rPr>
                      </w:pPr>
                      <w:r w:rsidRPr="0036312F">
                        <w:rPr>
                          <w:i/>
                        </w:rPr>
                        <w:t>- la probabilité, la durée, la fréquence et le caractère réversible des incidences,</w:t>
                      </w:r>
                    </w:p>
                    <w:p w14:paraId="26EA4488" w14:textId="77777777" w:rsidR="00826277" w:rsidRPr="0036312F" w:rsidRDefault="00826277" w:rsidP="00255C1A">
                      <w:pPr>
                        <w:rPr>
                          <w:i/>
                        </w:rPr>
                      </w:pPr>
                      <w:r w:rsidRPr="0036312F">
                        <w:rPr>
                          <w:i/>
                        </w:rPr>
                        <w:t>- le caractère cumulatif des incidences,</w:t>
                      </w:r>
                    </w:p>
                    <w:p w14:paraId="0453CAAF" w14:textId="77777777" w:rsidR="00826277" w:rsidRPr="0036312F" w:rsidRDefault="00826277" w:rsidP="00255C1A">
                      <w:pPr>
                        <w:rPr>
                          <w:i/>
                        </w:rPr>
                      </w:pPr>
                      <w:r w:rsidRPr="0036312F">
                        <w:rPr>
                          <w:i/>
                        </w:rPr>
                        <w:t>- la nature transfront</w:t>
                      </w:r>
                      <w:r w:rsidR="00B4481E">
                        <w:rPr>
                          <w:i/>
                        </w:rPr>
                        <w:t>al</w:t>
                      </w:r>
                      <w:r w:rsidRPr="0036312F">
                        <w:rPr>
                          <w:i/>
                        </w:rPr>
                        <w:t>ière des incidences,</w:t>
                      </w:r>
                    </w:p>
                    <w:p w14:paraId="1D9354AC" w14:textId="77777777" w:rsidR="00826277" w:rsidRPr="0036312F" w:rsidRDefault="00826277" w:rsidP="00255C1A">
                      <w:pPr>
                        <w:rPr>
                          <w:i/>
                        </w:rPr>
                      </w:pPr>
                      <w:r w:rsidRPr="0036312F">
                        <w:rPr>
                          <w:i/>
                        </w:rPr>
                        <w:t>- les risques pour la santé humaine ou pour l'environnement (à cause d'accidents, par exemple),</w:t>
                      </w:r>
                    </w:p>
                    <w:p w14:paraId="38240DB2" w14:textId="77777777" w:rsidR="00826277" w:rsidRPr="0036312F" w:rsidRDefault="00826277" w:rsidP="00255C1A">
                      <w:pPr>
                        <w:rPr>
                          <w:i/>
                        </w:rPr>
                      </w:pPr>
                      <w:r w:rsidRPr="0036312F">
                        <w:rPr>
                          <w:i/>
                        </w:rPr>
                        <w:t>- la magnitude et l'étendue spatiale géographique des incidences (zone géographique et taille de la population susceptible d'être touchée),</w:t>
                      </w:r>
                    </w:p>
                    <w:p w14:paraId="5A2E3CE1" w14:textId="77777777" w:rsidR="00826277" w:rsidRPr="0036312F" w:rsidRDefault="00826277" w:rsidP="00255C1A">
                      <w:pPr>
                        <w:rPr>
                          <w:i/>
                        </w:rPr>
                      </w:pPr>
                      <w:r w:rsidRPr="0036312F">
                        <w:rPr>
                          <w:i/>
                        </w:rPr>
                        <w:t>- la valeur et la vulnérabilité de la zone susceptible d'être touchée, en raison</w:t>
                      </w:r>
                      <w:r>
                        <w:rPr>
                          <w:i/>
                        </w:rPr>
                        <w:t xml:space="preserve"> </w:t>
                      </w:r>
                      <w:r w:rsidRPr="0036312F">
                        <w:rPr>
                          <w:i/>
                        </w:rPr>
                        <w:t>:</w:t>
                      </w:r>
                    </w:p>
                    <w:p w14:paraId="3AE26E10" w14:textId="77777777" w:rsidR="00826277" w:rsidRPr="0036312F" w:rsidRDefault="00826277" w:rsidP="00255C1A">
                      <w:pPr>
                        <w:rPr>
                          <w:i/>
                        </w:rPr>
                      </w:pPr>
                      <w:r w:rsidRPr="0036312F">
                        <w:rPr>
                          <w:i/>
                        </w:rPr>
                        <w:t>- de caractéristiques naturelles ou d'un patrimoine culturel particuliers,</w:t>
                      </w:r>
                    </w:p>
                    <w:p w14:paraId="1BA52BFD" w14:textId="77777777" w:rsidR="00826277" w:rsidRPr="0036312F" w:rsidRDefault="00826277" w:rsidP="00255C1A">
                      <w:pPr>
                        <w:rPr>
                          <w:i/>
                        </w:rPr>
                      </w:pPr>
                      <w:r w:rsidRPr="0036312F">
                        <w:rPr>
                          <w:i/>
                        </w:rPr>
                        <w:t>- d'un dépassement des normes de qualité environnementales ou des valeurs limites,</w:t>
                      </w:r>
                    </w:p>
                    <w:p w14:paraId="2A954A06" w14:textId="77777777" w:rsidR="00826277" w:rsidRPr="0036312F" w:rsidRDefault="00826277" w:rsidP="00255C1A">
                      <w:pPr>
                        <w:rPr>
                          <w:i/>
                        </w:rPr>
                      </w:pPr>
                      <w:r w:rsidRPr="0036312F">
                        <w:rPr>
                          <w:i/>
                        </w:rPr>
                        <w:t>- de l'exploitation intensive des sols,</w:t>
                      </w:r>
                    </w:p>
                    <w:p w14:paraId="3C459C1A" w14:textId="77777777" w:rsidR="00826277" w:rsidRPr="00255C1A" w:rsidRDefault="00826277" w:rsidP="00255C1A">
                      <w:pPr>
                        <w:rPr>
                          <w:i/>
                        </w:rPr>
                      </w:pPr>
                      <w:r w:rsidRPr="0036312F">
                        <w:rPr>
                          <w:i/>
                        </w:rPr>
                        <w:t>- les incidences pour des zones ou des paysages jouissant d'un statut de protection reconnu au niveau national, communautaire ou international.</w:t>
                      </w:r>
                    </w:p>
                  </w:txbxContent>
                </v:textbox>
                <w10:wrap type="square"/>
              </v:shape>
            </w:pict>
          </mc:Fallback>
        </mc:AlternateContent>
      </w:r>
    </w:p>
    <w:p w14:paraId="558BA997" w14:textId="77777777" w:rsidR="00212BA1" w:rsidRDefault="00212BA1" w:rsidP="001061FB">
      <w:pPr>
        <w:spacing w:before="0" w:after="160" w:line="259" w:lineRule="auto"/>
        <w:ind w:left="-851" w:right="-851"/>
        <w:jc w:val="left"/>
      </w:pPr>
    </w:p>
    <w:p w14:paraId="69F5E277" w14:textId="77777777" w:rsidR="00212BA1" w:rsidRDefault="00212BA1">
      <w:pPr>
        <w:spacing w:before="0" w:after="160" w:line="259" w:lineRule="auto"/>
        <w:jc w:val="left"/>
      </w:pPr>
      <w:r>
        <w:br w:type="page"/>
      </w:r>
    </w:p>
    <w:p w14:paraId="18FDDC8E" w14:textId="77777777" w:rsidR="00212BA1" w:rsidRDefault="001061FB" w:rsidP="001061FB">
      <w:pPr>
        <w:spacing w:before="0" w:after="160" w:line="259" w:lineRule="auto"/>
        <w:ind w:left="-851" w:right="-851"/>
        <w:jc w:val="left"/>
      </w:pPr>
      <w:r>
        <w:rPr>
          <w:noProof/>
        </w:rPr>
        <w:lastRenderedPageBreak/>
        <mc:AlternateContent>
          <mc:Choice Requires="wps">
            <w:drawing>
              <wp:inline distT="0" distB="0" distL="0" distR="0" wp14:anchorId="5767F6D3" wp14:editId="4A74E148">
                <wp:extent cx="6844786" cy="4960784"/>
                <wp:effectExtent l="0" t="0" r="13335" b="20320"/>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4786" cy="4960784"/>
                        </a:xfrm>
                        <a:prstGeom prst="rect">
                          <a:avLst/>
                        </a:prstGeom>
                        <a:solidFill>
                          <a:srgbClr val="FFFFFF"/>
                        </a:solidFill>
                        <a:ln w="9525">
                          <a:solidFill>
                            <a:srgbClr val="000000"/>
                          </a:solidFill>
                          <a:miter lim="800000"/>
                          <a:headEnd/>
                          <a:tailEnd/>
                        </a:ln>
                      </wps:spPr>
                      <wps:txbx>
                        <w:txbxContent>
                          <w:p w14:paraId="041EC671" w14:textId="77777777" w:rsidR="00826277" w:rsidRDefault="00826277" w:rsidP="001061FB">
                            <w:pPr>
                              <w:rPr>
                                <w:b/>
                                <w:i/>
                              </w:rPr>
                            </w:pPr>
                            <w:r>
                              <w:rPr>
                                <w:b/>
                                <w:i/>
                              </w:rPr>
                              <w:t>Rappel des apports de la Loi ASAP et son décret d’application du 13 octobre 2021</w:t>
                            </w:r>
                          </w:p>
                          <w:p w14:paraId="2BAF8DAE" w14:textId="77777777" w:rsidR="00826277" w:rsidRDefault="00826277" w:rsidP="00B4481E">
                            <w:pPr>
                              <w:rPr>
                                <w:i/>
                              </w:rPr>
                            </w:pPr>
                            <w:r w:rsidRPr="00EC67AF">
                              <w:rPr>
                                <w:i/>
                              </w:rPr>
                              <w:t>L’apport principal de cette réforme est de systématiser l’évaluation environnementale pour toutes</w:t>
                            </w:r>
                            <w:r>
                              <w:rPr>
                                <w:i/>
                              </w:rPr>
                              <w:t xml:space="preserve"> </w:t>
                            </w:r>
                            <w:r w:rsidRPr="00EC67AF">
                              <w:rPr>
                                <w:i/>
                              </w:rPr>
                              <w:t xml:space="preserve">les procédures </w:t>
                            </w:r>
                            <w:r>
                              <w:rPr>
                                <w:i/>
                              </w:rPr>
                              <w:t>d</w:t>
                            </w:r>
                            <w:r w:rsidRPr="00EC67AF">
                              <w:rPr>
                                <w:i/>
                              </w:rPr>
                              <w:t>’élaboration des PLU, qu’ils soient communaux ou intercommunaux, au même titre</w:t>
                            </w:r>
                            <w:r>
                              <w:rPr>
                                <w:i/>
                              </w:rPr>
                              <w:t xml:space="preserve"> </w:t>
                            </w:r>
                            <w:r w:rsidRPr="00EC67AF">
                              <w:rPr>
                                <w:i/>
                              </w:rPr>
                              <w:t>que les SCoT.</w:t>
                            </w:r>
                          </w:p>
                          <w:p w14:paraId="08DB21A2" w14:textId="77777777" w:rsidR="00826277" w:rsidRDefault="00826277" w:rsidP="00B4481E">
                            <w:pPr>
                              <w:rPr>
                                <w:i/>
                              </w:rPr>
                            </w:pPr>
                            <w:r w:rsidRPr="00EC67AF">
                              <w:rPr>
                                <w:i/>
                              </w:rPr>
                              <w:t>Cette extension du champ d’application de l’évaluation environnementale s’applique pour</w:t>
                            </w:r>
                            <w:r>
                              <w:rPr>
                                <w:i/>
                              </w:rPr>
                              <w:t xml:space="preserve"> </w:t>
                            </w:r>
                            <w:r w:rsidRPr="00EC67AF">
                              <w:rPr>
                                <w:i/>
                              </w:rPr>
                              <w:t>toutes les procédures engagées après le 8 décembre 2020. A noter que dans l’hypothèse d’une</w:t>
                            </w:r>
                            <w:r>
                              <w:rPr>
                                <w:i/>
                              </w:rPr>
                              <w:t xml:space="preserve"> </w:t>
                            </w:r>
                            <w:r w:rsidRPr="00EC67AF">
                              <w:rPr>
                                <w:i/>
                              </w:rPr>
                              <w:t>simple évolution du PLU, une nouvelle évaluation environnementale, ou sa seule actualisation, est</w:t>
                            </w:r>
                            <w:r>
                              <w:rPr>
                                <w:i/>
                              </w:rPr>
                              <w:t xml:space="preserve"> </w:t>
                            </w:r>
                            <w:r w:rsidRPr="00EC67AF">
                              <w:rPr>
                                <w:i/>
                              </w:rPr>
                              <w:t>exigée lorsque le projet conduit à des changements susceptibles d’avoir des effets notables sur</w:t>
                            </w:r>
                            <w:r>
                              <w:rPr>
                                <w:i/>
                              </w:rPr>
                              <w:t xml:space="preserve"> </w:t>
                            </w:r>
                            <w:r w:rsidRPr="00EC67AF">
                              <w:rPr>
                                <w:i/>
                              </w:rPr>
                              <w:t>l’environnement.</w:t>
                            </w:r>
                          </w:p>
                          <w:p w14:paraId="59A5FA06" w14:textId="77777777" w:rsidR="00826277" w:rsidRDefault="00826277" w:rsidP="00B4481E">
                            <w:pPr>
                              <w:rPr>
                                <w:i/>
                              </w:rPr>
                            </w:pPr>
                            <w:r w:rsidRPr="001061FB">
                              <w:rPr>
                                <w:i/>
                              </w:rPr>
                              <w:t xml:space="preserve">Pris en application de l’article 40 de la loi </w:t>
                            </w:r>
                            <w:r w:rsidR="00B4481E" w:rsidRPr="001061FB">
                              <w:rPr>
                                <w:i/>
                              </w:rPr>
                              <w:t>A</w:t>
                            </w:r>
                            <w:r w:rsidR="00B4481E">
                              <w:rPr>
                                <w:i/>
                              </w:rPr>
                              <w:t>SAP</w:t>
                            </w:r>
                            <w:r w:rsidRPr="001061FB">
                              <w:rPr>
                                <w:i/>
                              </w:rPr>
                              <w:t>, le décret du 13 octobre 2021 porte modification</w:t>
                            </w:r>
                            <w:r>
                              <w:rPr>
                                <w:i/>
                              </w:rPr>
                              <w:t xml:space="preserve"> </w:t>
                            </w:r>
                            <w:r w:rsidRPr="001061FB">
                              <w:rPr>
                                <w:i/>
                              </w:rPr>
                              <w:t>des dispositions relatives à l’évaluation environnementale des documents d’urbanisme et des unités</w:t>
                            </w:r>
                            <w:r>
                              <w:rPr>
                                <w:i/>
                              </w:rPr>
                              <w:t xml:space="preserve"> </w:t>
                            </w:r>
                            <w:r w:rsidRPr="001061FB">
                              <w:rPr>
                                <w:i/>
                              </w:rPr>
                              <w:t>touristiques nouvelles.</w:t>
                            </w:r>
                          </w:p>
                          <w:p w14:paraId="4F759E88" w14:textId="77777777" w:rsidR="00826277" w:rsidRDefault="00826277" w:rsidP="00B4481E">
                            <w:pPr>
                              <w:rPr>
                                <w:i/>
                              </w:rPr>
                            </w:pPr>
                            <w:r w:rsidRPr="00EC67AF">
                              <w:rPr>
                                <w:i/>
                              </w:rPr>
                              <w:t>Le décret du 13 octobre 2021 met au fin vide juridique créé par la décision du Conseil d’Etat précitée</w:t>
                            </w:r>
                            <w:r>
                              <w:rPr>
                                <w:i/>
                              </w:rPr>
                              <w:t xml:space="preserve"> </w:t>
                            </w:r>
                            <w:r w:rsidRPr="00EC67AF">
                              <w:rPr>
                                <w:i/>
                              </w:rPr>
                              <w:t>qui avait supprimé certaines dispositions du décret du 28 décembre 2015. Il ressort désormais de la</w:t>
                            </w:r>
                            <w:r>
                              <w:rPr>
                                <w:i/>
                              </w:rPr>
                              <w:t xml:space="preserve"> </w:t>
                            </w:r>
                            <w:r w:rsidRPr="00EC67AF">
                              <w:rPr>
                                <w:i/>
                              </w:rPr>
                              <w:t>version consolidée du code de l’urbanisme que les procédures d’élaboration ou d’évolution du SCoT,</w:t>
                            </w:r>
                            <w:r>
                              <w:rPr>
                                <w:i/>
                              </w:rPr>
                              <w:t xml:space="preserve"> </w:t>
                            </w:r>
                            <w:r w:rsidRPr="00EC67AF">
                              <w:rPr>
                                <w:i/>
                              </w:rPr>
                              <w:t>du PLU et de la carte communale sont soit soumis à évaluation environnementale, soit à un examen</w:t>
                            </w:r>
                            <w:r>
                              <w:rPr>
                                <w:i/>
                              </w:rPr>
                              <w:t xml:space="preserve"> </w:t>
                            </w:r>
                            <w:r w:rsidRPr="00EC67AF">
                              <w:rPr>
                                <w:i/>
                              </w:rPr>
                              <w:t xml:space="preserve">au cas par cas </w:t>
                            </w:r>
                            <w:r w:rsidRPr="00EC67AF">
                              <w:rPr>
                                <w:b/>
                                <w:i/>
                              </w:rPr>
                              <w:t>pouvant être réalisé désormais par la personne publique responsable selon la</w:t>
                            </w:r>
                            <w:r>
                              <w:rPr>
                                <w:b/>
                                <w:i/>
                              </w:rPr>
                              <w:t xml:space="preserve"> </w:t>
                            </w:r>
                            <w:r w:rsidRPr="00EC67AF">
                              <w:rPr>
                                <w:b/>
                                <w:i/>
                              </w:rPr>
                              <w:t>procédure engagée.</w:t>
                            </w:r>
                          </w:p>
                          <w:p w14:paraId="6E4FA5E3" w14:textId="77777777" w:rsidR="00826277" w:rsidRPr="00EC67AF" w:rsidRDefault="00826277" w:rsidP="00B4481E">
                            <w:pPr>
                              <w:rPr>
                                <w:i/>
                              </w:rPr>
                            </w:pPr>
                            <w:r>
                              <w:rPr>
                                <w:i/>
                              </w:rPr>
                              <w:t xml:space="preserve">Dans le cas de la Communauté d’Agglomération du Libournais, l’examen au cas par cas sera réalisé par la personne publique responsable tel que prévu à l’article R104-33 du code de l’urbanisme, puisque la présente procédure concerne des modifications susceptibles d’avoir </w:t>
                            </w:r>
                            <w:r w:rsidRPr="00EC67AF">
                              <w:rPr>
                                <w:i/>
                              </w:rPr>
                              <w:t>une incidence sur l’environnement</w:t>
                            </w:r>
                            <w:r>
                              <w:rPr>
                                <w:i/>
                              </w:rPr>
                              <w:t xml:space="preserve"> tel que prévu à l’article </w:t>
                            </w:r>
                            <w:r w:rsidRPr="00EC67AF">
                              <w:rPr>
                                <w:i/>
                              </w:rPr>
                              <w:t>R.104-12</w:t>
                            </w:r>
                            <w:r>
                              <w:rPr>
                                <w:i/>
                              </w:rPr>
                              <w:t xml:space="preserve">, alinéa </w:t>
                            </w:r>
                            <w:r w:rsidRPr="00EC67AF">
                              <w:rPr>
                                <w:i/>
                              </w:rPr>
                              <w:t>3</w:t>
                            </w:r>
                            <w:r>
                              <w:rPr>
                                <w:i/>
                              </w:rPr>
                              <w:t>.</w:t>
                            </w:r>
                          </w:p>
                        </w:txbxContent>
                      </wps:txbx>
                      <wps:bodyPr rot="0" vert="horz" wrap="square" lIns="91440" tIns="45720" rIns="91440" bIns="45720" anchor="t" anchorCtr="0">
                        <a:spAutoFit/>
                      </wps:bodyPr>
                    </wps:wsp>
                  </a:graphicData>
                </a:graphic>
              </wp:inline>
            </w:drawing>
          </mc:Choice>
          <mc:Fallback>
            <w:pict>
              <v:shape w14:anchorId="5767F6D3" id="Zone de texte 2" o:spid="_x0000_s1028" type="#_x0000_t202" style="width:538.95pt;height:39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">
                <v:textbox style="mso-fit-shape-to-text:t">
                  <w:txbxContent>
                    <w:p w14:paraId="041EC671" w14:textId="77777777" w:rsidR="00826277" w:rsidRDefault="00826277" w:rsidP="001061FB">
                      <w:pPr>
                        <w:rPr>
                          <w:b/>
                          <w:i/>
                        </w:rPr>
                      </w:pPr>
                      <w:r>
                        <w:rPr>
                          <w:b/>
                          <w:i/>
                        </w:rPr>
                        <w:t>Rappel des apports de la Loi ASAP et son décret d’application du 13 octobre 2021</w:t>
                      </w:r>
                    </w:p>
                    <w:p w14:paraId="2BAF8DAE" w14:textId="77777777" w:rsidR="00826277" w:rsidRDefault="00826277" w:rsidP="00B4481E">
                      <w:pPr>
                        <w:rPr>
                          <w:i/>
                        </w:rPr>
                      </w:pPr>
                      <w:r w:rsidRPr="00EC67AF">
                        <w:rPr>
                          <w:i/>
                        </w:rPr>
                        <w:t>L’apport principal de cette réforme est de systématiser l’évaluation environnementale pour toutes</w:t>
                      </w:r>
                      <w:r>
                        <w:rPr>
                          <w:i/>
                        </w:rPr>
                        <w:t xml:space="preserve"> </w:t>
                      </w:r>
                      <w:r w:rsidRPr="00EC67AF">
                        <w:rPr>
                          <w:i/>
                        </w:rPr>
                        <w:t xml:space="preserve">les procédures </w:t>
                      </w:r>
                      <w:r>
                        <w:rPr>
                          <w:i/>
                        </w:rPr>
                        <w:t>d</w:t>
                      </w:r>
                      <w:r w:rsidRPr="00EC67AF">
                        <w:rPr>
                          <w:i/>
                        </w:rPr>
                        <w:t>’élaboration des PLU, qu’ils soient communaux ou intercommunaux, au même titre</w:t>
                      </w:r>
                      <w:r>
                        <w:rPr>
                          <w:i/>
                        </w:rPr>
                        <w:t xml:space="preserve"> </w:t>
                      </w:r>
                      <w:r w:rsidRPr="00EC67AF">
                        <w:rPr>
                          <w:i/>
                        </w:rPr>
                        <w:t xml:space="preserve">que les </w:t>
                      </w:r>
                      <w:proofErr w:type="spellStart"/>
                      <w:r w:rsidRPr="00EC67AF">
                        <w:rPr>
                          <w:i/>
                        </w:rPr>
                        <w:t>SCoT</w:t>
                      </w:r>
                      <w:proofErr w:type="spellEnd"/>
                      <w:r w:rsidRPr="00EC67AF">
                        <w:rPr>
                          <w:i/>
                        </w:rPr>
                        <w:t>.</w:t>
                      </w:r>
                    </w:p>
                    <w:p w14:paraId="08DB21A2" w14:textId="77777777" w:rsidR="00826277" w:rsidRDefault="00826277" w:rsidP="00B4481E">
                      <w:pPr>
                        <w:rPr>
                          <w:i/>
                        </w:rPr>
                      </w:pPr>
                      <w:r w:rsidRPr="00EC67AF">
                        <w:rPr>
                          <w:i/>
                        </w:rPr>
                        <w:t>Cette extension du champ d’application de l’évaluation environnementale s’applique pour</w:t>
                      </w:r>
                      <w:r>
                        <w:rPr>
                          <w:i/>
                        </w:rPr>
                        <w:t xml:space="preserve"> </w:t>
                      </w:r>
                      <w:r w:rsidRPr="00EC67AF">
                        <w:rPr>
                          <w:i/>
                        </w:rPr>
                        <w:t>toutes les procédures engagées après le 8 décembre 2020. A noter que dans l’hypothèse d’une</w:t>
                      </w:r>
                      <w:r>
                        <w:rPr>
                          <w:i/>
                        </w:rPr>
                        <w:t xml:space="preserve"> </w:t>
                      </w:r>
                      <w:r w:rsidRPr="00EC67AF">
                        <w:rPr>
                          <w:i/>
                        </w:rPr>
                        <w:t>simple évolution du PLU, une nouvelle évaluation environnementale, ou sa seule actualisation, est</w:t>
                      </w:r>
                      <w:r>
                        <w:rPr>
                          <w:i/>
                        </w:rPr>
                        <w:t xml:space="preserve"> </w:t>
                      </w:r>
                      <w:r w:rsidRPr="00EC67AF">
                        <w:rPr>
                          <w:i/>
                        </w:rPr>
                        <w:t>exigée lorsque le projet conduit à des changements susceptibles d’avoir des effets notables sur</w:t>
                      </w:r>
                      <w:r>
                        <w:rPr>
                          <w:i/>
                        </w:rPr>
                        <w:t xml:space="preserve"> </w:t>
                      </w:r>
                      <w:r w:rsidRPr="00EC67AF">
                        <w:rPr>
                          <w:i/>
                        </w:rPr>
                        <w:t>l’environnement.</w:t>
                      </w:r>
                    </w:p>
                    <w:p w14:paraId="59A5FA06" w14:textId="77777777" w:rsidR="00826277" w:rsidRDefault="00826277" w:rsidP="00B4481E">
                      <w:pPr>
                        <w:rPr>
                          <w:i/>
                        </w:rPr>
                      </w:pPr>
                      <w:r w:rsidRPr="001061FB">
                        <w:rPr>
                          <w:i/>
                        </w:rPr>
                        <w:t xml:space="preserve">Pris en application de l’article 40 de la loi </w:t>
                      </w:r>
                      <w:r w:rsidR="00B4481E" w:rsidRPr="001061FB">
                        <w:rPr>
                          <w:i/>
                        </w:rPr>
                        <w:t>A</w:t>
                      </w:r>
                      <w:r w:rsidR="00B4481E">
                        <w:rPr>
                          <w:i/>
                        </w:rPr>
                        <w:t>SAP</w:t>
                      </w:r>
                      <w:r w:rsidRPr="001061FB">
                        <w:rPr>
                          <w:i/>
                        </w:rPr>
                        <w:t>, le décret du 13 octobre 2021 porte modification</w:t>
                      </w:r>
                      <w:r>
                        <w:rPr>
                          <w:i/>
                        </w:rPr>
                        <w:t xml:space="preserve"> </w:t>
                      </w:r>
                      <w:r w:rsidRPr="001061FB">
                        <w:rPr>
                          <w:i/>
                        </w:rPr>
                        <w:t>des dispositions relatives à l’évaluation environnementale des documents d’urbanisme et des unités</w:t>
                      </w:r>
                      <w:r>
                        <w:rPr>
                          <w:i/>
                        </w:rPr>
                        <w:t xml:space="preserve"> </w:t>
                      </w:r>
                      <w:r w:rsidRPr="001061FB">
                        <w:rPr>
                          <w:i/>
                        </w:rPr>
                        <w:t>touristiques nouvelles.</w:t>
                      </w:r>
                    </w:p>
                    <w:p w14:paraId="4F759E88" w14:textId="77777777" w:rsidR="00826277" w:rsidRDefault="00826277" w:rsidP="00B4481E">
                      <w:pPr>
                        <w:rPr>
                          <w:i/>
                        </w:rPr>
                      </w:pPr>
                      <w:r w:rsidRPr="00EC67AF">
                        <w:rPr>
                          <w:i/>
                        </w:rPr>
                        <w:t>Le décret du 13 octobre 2021 met au fin vide juridique créé par la décision du Conseil d’Etat précitée</w:t>
                      </w:r>
                      <w:r>
                        <w:rPr>
                          <w:i/>
                        </w:rPr>
                        <w:t xml:space="preserve"> </w:t>
                      </w:r>
                      <w:r w:rsidRPr="00EC67AF">
                        <w:rPr>
                          <w:i/>
                        </w:rPr>
                        <w:t>qui avait supprimé certaines dispositions du décret du 28 décembre 2015. Il ressort désormais de la</w:t>
                      </w:r>
                      <w:r>
                        <w:rPr>
                          <w:i/>
                        </w:rPr>
                        <w:t xml:space="preserve"> </w:t>
                      </w:r>
                      <w:r w:rsidRPr="00EC67AF">
                        <w:rPr>
                          <w:i/>
                        </w:rPr>
                        <w:t xml:space="preserve">version consolidée du code de l’urbanisme que les procédures d’élaboration ou d’évolution du </w:t>
                      </w:r>
                      <w:proofErr w:type="spellStart"/>
                      <w:r w:rsidRPr="00EC67AF">
                        <w:rPr>
                          <w:i/>
                        </w:rPr>
                        <w:t>SCoT</w:t>
                      </w:r>
                      <w:proofErr w:type="spellEnd"/>
                      <w:r w:rsidRPr="00EC67AF">
                        <w:rPr>
                          <w:i/>
                        </w:rPr>
                        <w:t>,</w:t>
                      </w:r>
                      <w:r>
                        <w:rPr>
                          <w:i/>
                        </w:rPr>
                        <w:t xml:space="preserve"> </w:t>
                      </w:r>
                      <w:r w:rsidRPr="00EC67AF">
                        <w:rPr>
                          <w:i/>
                        </w:rPr>
                        <w:t>du PLU et de la carte communale sont soit soumis à évaluation environnementale, soit à un examen</w:t>
                      </w:r>
                      <w:r>
                        <w:rPr>
                          <w:i/>
                        </w:rPr>
                        <w:t xml:space="preserve"> </w:t>
                      </w:r>
                      <w:r w:rsidRPr="00EC67AF">
                        <w:rPr>
                          <w:i/>
                        </w:rPr>
                        <w:t xml:space="preserve">au cas par cas </w:t>
                      </w:r>
                      <w:r w:rsidRPr="00EC67AF">
                        <w:rPr>
                          <w:b/>
                          <w:i/>
                        </w:rPr>
                        <w:t>pouvant être réalisé désormais par la personne publique responsable selon la</w:t>
                      </w:r>
                      <w:r>
                        <w:rPr>
                          <w:b/>
                          <w:i/>
                        </w:rPr>
                        <w:t xml:space="preserve"> </w:t>
                      </w:r>
                      <w:r w:rsidRPr="00EC67AF">
                        <w:rPr>
                          <w:b/>
                          <w:i/>
                        </w:rPr>
                        <w:t>procédure engagée.</w:t>
                      </w:r>
                    </w:p>
                    <w:p w14:paraId="6E4FA5E3" w14:textId="77777777" w:rsidR="00826277" w:rsidRPr="00EC67AF" w:rsidRDefault="00826277" w:rsidP="00B4481E">
                      <w:pPr>
                        <w:rPr>
                          <w:i/>
                        </w:rPr>
                      </w:pPr>
                      <w:r>
                        <w:rPr>
                          <w:i/>
                        </w:rPr>
                        <w:t xml:space="preserve">Dans le cas de la Communauté d’Agglomération du Libournais, l’examen au cas par cas sera réalisé par la personne publique responsable tel que prévu à l’article R104-33 du code de l’urbanisme, puisque la présente procédure concerne des modifications susceptibles d’avoir </w:t>
                      </w:r>
                      <w:r w:rsidRPr="00EC67AF">
                        <w:rPr>
                          <w:i/>
                        </w:rPr>
                        <w:t>une incidence sur l’environnement</w:t>
                      </w:r>
                      <w:r>
                        <w:rPr>
                          <w:i/>
                        </w:rPr>
                        <w:t xml:space="preserve"> tel que prévu à l’article </w:t>
                      </w:r>
                      <w:r w:rsidRPr="00EC67AF">
                        <w:rPr>
                          <w:i/>
                        </w:rPr>
                        <w:t>R.104-12</w:t>
                      </w:r>
                      <w:r>
                        <w:rPr>
                          <w:i/>
                        </w:rPr>
                        <w:t xml:space="preserve">, alinéa </w:t>
                      </w:r>
                      <w:r w:rsidRPr="00EC67AF">
                        <w:rPr>
                          <w:i/>
                        </w:rPr>
                        <w:t>3</w:t>
                      </w:r>
                      <w:r>
                        <w:rPr>
                          <w:i/>
                        </w:rPr>
                        <w:t>.</w:t>
                      </w:r>
                    </w:p>
                  </w:txbxContent>
                </v:textbox>
                <w10:anchorlock/>
              </v:shape>
            </w:pict>
          </mc:Fallback>
        </mc:AlternateContent>
      </w:r>
    </w:p>
    <w:p w14:paraId="5E02E796" w14:textId="77777777" w:rsidR="00212BA1" w:rsidRDefault="00212BA1">
      <w:pPr>
        <w:spacing w:before="0" w:after="160" w:line="259" w:lineRule="auto"/>
        <w:jc w:val="left"/>
      </w:pPr>
      <w:r>
        <w:br w:type="page"/>
      </w:r>
    </w:p>
    <w:p w14:paraId="307B4195" w14:textId="77777777" w:rsidR="00BB4B67" w:rsidRDefault="00BB4B67" w:rsidP="00BB4B67">
      <w:pPr>
        <w:pStyle w:val="02-Titre2"/>
      </w:pPr>
      <w:r>
        <w:lastRenderedPageBreak/>
        <w:t xml:space="preserve">L’objet de la modification </w:t>
      </w:r>
    </w:p>
    <w:p w14:paraId="038FADAD" w14:textId="77777777" w:rsidR="0023310A" w:rsidRPr="0023310A" w:rsidRDefault="00335654" w:rsidP="00BB4B67">
      <w:pPr>
        <w:rPr>
          <w:rStyle w:val="Textedelespacerserv"/>
          <w:b/>
          <w:color w:val="auto"/>
          <w:u w:val="single"/>
        </w:rPr>
      </w:pPr>
      <w:r>
        <w:rPr>
          <w:rStyle w:val="Textedelespacerserv"/>
          <w:b/>
          <w:color w:val="auto"/>
          <w:u w:val="single"/>
        </w:rPr>
        <w:t>Carte de l</w:t>
      </w:r>
      <w:r w:rsidR="00DE13D9">
        <w:rPr>
          <w:rStyle w:val="Textedelespacerserv"/>
          <w:b/>
          <w:color w:val="auto"/>
          <w:u w:val="single"/>
        </w:rPr>
        <w:t xml:space="preserve">ocalisation </w:t>
      </w:r>
      <w:r w:rsidR="00AE23A5">
        <w:rPr>
          <w:rStyle w:val="Textedelespacerserv"/>
          <w:b/>
          <w:color w:val="auto"/>
          <w:u w:val="single"/>
        </w:rPr>
        <w:t>du</w:t>
      </w:r>
      <w:r w:rsidR="0023310A" w:rsidRPr="0023310A">
        <w:rPr>
          <w:rStyle w:val="Textedelespacerserv"/>
          <w:b/>
          <w:color w:val="auto"/>
          <w:u w:val="single"/>
        </w:rPr>
        <w:t xml:space="preserve"> secteur concerné par la modification </w:t>
      </w:r>
    </w:p>
    <w:p w14:paraId="3A067055" w14:textId="77777777" w:rsidR="0023310A" w:rsidRDefault="0023310A" w:rsidP="00BB4B67">
      <w:pPr>
        <w:rPr>
          <w:rStyle w:val="Textedelespacerserv"/>
          <w:color w:val="auto"/>
        </w:rPr>
      </w:pPr>
    </w:p>
    <w:p w14:paraId="24104658" w14:textId="77777777" w:rsidR="00212BA1" w:rsidRPr="00BB4B67" w:rsidRDefault="00AE23A5" w:rsidP="00BB4B67">
      <w:pPr>
        <w:rPr>
          <w:rStyle w:val="Textedelespacerserv"/>
          <w:color w:val="auto"/>
        </w:rPr>
      </w:pPr>
      <w:r w:rsidRPr="00AE23A5">
        <w:rPr>
          <w:rStyle w:val="Textedelespacerserv"/>
          <w:noProof/>
          <w:color w:val="auto"/>
        </w:rPr>
        <w:drawing>
          <wp:inline distT="0" distB="0" distL="0" distR="0" wp14:anchorId="00F35ED4" wp14:editId="13898C10">
            <wp:extent cx="5760720" cy="7848748"/>
            <wp:effectExtent l="0" t="0" r="0" b="0"/>
            <wp:docPr id="12" name="Image 12" descr="C:\Users\dm\Seafile\E240491_UCE_LIBOURNAIS_LES_BILLAUX_MODIF\02_TRAVAIL\00_CARTO\EXPORT\ENVIRONN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Seafile\E240491_UCE_LIBOURNAIS_LES_BILLAUX_MODIF\02_TRAVAIL\00_CARTO\EXPORT\ENVIRONNEMEN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7848748"/>
                    </a:xfrm>
                    <a:prstGeom prst="rect">
                      <a:avLst/>
                    </a:prstGeom>
                    <a:noFill/>
                    <a:ln>
                      <a:noFill/>
                    </a:ln>
                  </pic:spPr>
                </pic:pic>
              </a:graphicData>
            </a:graphic>
          </wp:inline>
        </w:drawing>
      </w:r>
    </w:p>
    <w:p w14:paraId="1F67732A" w14:textId="77777777" w:rsidR="000B6973" w:rsidRDefault="000B6973">
      <w:pPr>
        <w:spacing w:before="0" w:after="160" w:line="259" w:lineRule="auto"/>
        <w:jc w:val="left"/>
      </w:pPr>
    </w:p>
    <w:p w14:paraId="5EB9D9E3" w14:textId="77777777" w:rsidR="00B82438" w:rsidRDefault="00AE23A5" w:rsidP="00212BA1">
      <w:pPr>
        <w:pStyle w:val="ARTICLE1"/>
      </w:pPr>
      <w:bookmarkStart w:id="1" w:name="_Toc163735030"/>
      <w:bookmarkStart w:id="2" w:name="_Toc163813233"/>
      <w:r>
        <w:lastRenderedPageBreak/>
        <w:t>Implantation d’un projet à vocation économique</w:t>
      </w:r>
      <w:bookmarkEnd w:id="1"/>
      <w:bookmarkEnd w:id="2"/>
    </w:p>
    <w:p w14:paraId="1AE8CC2F" w14:textId="77777777" w:rsidR="00101305" w:rsidRDefault="00101305" w:rsidP="00212BA1">
      <w:pPr>
        <w:pStyle w:val="02-Titre2"/>
      </w:pPr>
      <w:bookmarkStart w:id="3" w:name="_Toc133996595"/>
      <w:r>
        <w:t xml:space="preserve">Evaluation des incidences sur les </w:t>
      </w:r>
      <w:r w:rsidRPr="00212BA1">
        <w:t>dynamiques</w:t>
      </w:r>
      <w:r>
        <w:t xml:space="preserve"> du territoire</w:t>
      </w:r>
      <w:bookmarkEnd w:id="3"/>
    </w:p>
    <w:p w14:paraId="6FEDDE12" w14:textId="77777777" w:rsidR="008D4727" w:rsidRDefault="008D4727" w:rsidP="00335654">
      <w:pPr>
        <w:autoSpaceDE w:val="0"/>
        <w:autoSpaceDN w:val="0"/>
        <w:adjustRightInd w:val="0"/>
        <w:spacing w:before="0"/>
        <w:rPr>
          <w:rFonts w:ascii="Calibri" w:hAnsi="Calibri" w:cs="Calibri"/>
          <w:color w:val="000000"/>
          <w:sz w:val="22"/>
          <w:szCs w:val="22"/>
          <w:lang w:eastAsia="en-US"/>
        </w:rPr>
      </w:pPr>
    </w:p>
    <w:p w14:paraId="136D3ED2" w14:textId="2E606F18" w:rsidR="007370CD" w:rsidRDefault="00335654" w:rsidP="00BE4E16">
      <w:pPr>
        <w:autoSpaceDE w:val="0"/>
        <w:autoSpaceDN w:val="0"/>
        <w:adjustRightInd w:val="0"/>
        <w:spacing w:before="0"/>
        <w:rPr>
          <w:rFonts w:ascii="Calibri" w:hAnsi="Calibri" w:cs="Calibri"/>
          <w:color w:val="000000"/>
          <w:sz w:val="22"/>
          <w:szCs w:val="22"/>
          <w:lang w:eastAsia="en-US"/>
        </w:rPr>
      </w:pPr>
      <w:r w:rsidRPr="00335654">
        <w:rPr>
          <w:rFonts w:ascii="Calibri" w:hAnsi="Calibri" w:cs="Calibri"/>
          <w:color w:val="000000"/>
          <w:sz w:val="22"/>
          <w:szCs w:val="22"/>
          <w:lang w:eastAsia="en-US"/>
        </w:rPr>
        <w:t xml:space="preserve">Le territoire de la </w:t>
      </w:r>
      <w:r w:rsidR="00BE4E16">
        <w:rPr>
          <w:rFonts w:ascii="Calibri" w:hAnsi="Calibri" w:cs="Calibri"/>
          <w:color w:val="000000"/>
          <w:sz w:val="22"/>
          <w:szCs w:val="22"/>
          <w:lang w:eastAsia="en-US"/>
        </w:rPr>
        <w:t xml:space="preserve">Communauté d’Agglomération du Libournais observe une dynamique économique importante ces dernières années. Il importe de proposer des secteurs d’activité </w:t>
      </w:r>
      <w:r w:rsidR="00F74F31">
        <w:rPr>
          <w:rFonts w:ascii="Calibri" w:hAnsi="Calibri" w:cs="Calibri"/>
          <w:color w:val="000000"/>
          <w:sz w:val="22"/>
          <w:szCs w:val="22"/>
          <w:lang w:eastAsia="en-US"/>
        </w:rPr>
        <w:t xml:space="preserve">diversifiés </w:t>
      </w:r>
      <w:r w:rsidR="00BE4E16">
        <w:rPr>
          <w:rFonts w:ascii="Calibri" w:hAnsi="Calibri" w:cs="Calibri"/>
          <w:color w:val="000000"/>
          <w:sz w:val="22"/>
          <w:szCs w:val="22"/>
          <w:lang w:eastAsia="en-US"/>
        </w:rPr>
        <w:t xml:space="preserve">sur le territoire afin de réduire les déplacements domicile travail et proposer une offre de services et commerces de proximité suffisante. </w:t>
      </w:r>
    </w:p>
    <w:p w14:paraId="610FAF84" w14:textId="297C9B45" w:rsidR="0096434D" w:rsidRDefault="00BE4E16" w:rsidP="00BE4E16">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La commune de</w:t>
      </w:r>
      <w:r w:rsidR="00F74F31">
        <w:rPr>
          <w:rFonts w:ascii="Calibri" w:hAnsi="Calibri" w:cs="Calibri"/>
          <w:color w:val="000000"/>
          <w:sz w:val="22"/>
          <w:szCs w:val="22"/>
          <w:lang w:eastAsia="en-US"/>
        </w:rPr>
        <w:t xml:space="preserve"> Le</w:t>
      </w:r>
      <w:r>
        <w:rPr>
          <w:rFonts w:ascii="Calibri" w:hAnsi="Calibri" w:cs="Calibri"/>
          <w:color w:val="000000"/>
          <w:sz w:val="22"/>
          <w:szCs w:val="22"/>
          <w:lang w:eastAsia="en-US"/>
        </w:rPr>
        <w:t>s Billaux est particulièrement attractive pour le secteur économique. Traversée par la D 910 qui dessert Libourne au sud et de nombreu</w:t>
      </w:r>
      <w:r w:rsidR="00F74F31">
        <w:rPr>
          <w:rFonts w:ascii="Calibri" w:hAnsi="Calibri" w:cs="Calibri"/>
          <w:color w:val="000000"/>
          <w:sz w:val="22"/>
          <w:szCs w:val="22"/>
          <w:lang w:eastAsia="en-US"/>
        </w:rPr>
        <w:t>ses communes de la CALI au nord, e</w:t>
      </w:r>
      <w:r w:rsidR="00B125AC">
        <w:rPr>
          <w:rFonts w:ascii="Calibri" w:hAnsi="Calibri" w:cs="Calibri"/>
          <w:color w:val="000000"/>
          <w:sz w:val="22"/>
          <w:szCs w:val="22"/>
          <w:lang w:eastAsia="en-US"/>
        </w:rPr>
        <w:t xml:space="preserve">lle bénéficie du </w:t>
      </w:r>
      <w:r w:rsidR="0096434D">
        <w:rPr>
          <w:rFonts w:ascii="Calibri" w:hAnsi="Calibri" w:cs="Calibri"/>
          <w:color w:val="000000"/>
          <w:sz w:val="22"/>
          <w:szCs w:val="22"/>
          <w:lang w:eastAsia="en-US"/>
        </w:rPr>
        <w:t>dynamisme</w:t>
      </w:r>
      <w:r w:rsidR="00B125AC">
        <w:rPr>
          <w:rFonts w:ascii="Calibri" w:hAnsi="Calibri" w:cs="Calibri"/>
          <w:color w:val="000000"/>
          <w:sz w:val="22"/>
          <w:szCs w:val="22"/>
          <w:lang w:eastAsia="en-US"/>
        </w:rPr>
        <w:t xml:space="preserve"> </w:t>
      </w:r>
      <w:r w:rsidR="00F74F31">
        <w:rPr>
          <w:rFonts w:ascii="Calibri" w:hAnsi="Calibri" w:cs="Calibri"/>
          <w:color w:val="000000"/>
          <w:sz w:val="22"/>
          <w:szCs w:val="22"/>
          <w:lang w:eastAsia="en-US"/>
        </w:rPr>
        <w:t xml:space="preserve">de la ville de Libourne </w:t>
      </w:r>
      <w:r w:rsidR="00B125AC">
        <w:rPr>
          <w:rFonts w:ascii="Calibri" w:hAnsi="Calibri" w:cs="Calibri"/>
          <w:color w:val="000000"/>
          <w:sz w:val="22"/>
          <w:szCs w:val="22"/>
          <w:lang w:eastAsia="en-US"/>
        </w:rPr>
        <w:t>d</w:t>
      </w:r>
      <w:r w:rsidR="0096434D">
        <w:rPr>
          <w:rFonts w:ascii="Calibri" w:hAnsi="Calibri" w:cs="Calibri"/>
          <w:color w:val="000000"/>
          <w:sz w:val="22"/>
          <w:szCs w:val="22"/>
          <w:lang w:eastAsia="en-US"/>
        </w:rPr>
        <w:t xml:space="preserve">u fait de sa proximité immédiate avec </w:t>
      </w:r>
      <w:r w:rsidR="00F74F31">
        <w:rPr>
          <w:rFonts w:ascii="Calibri" w:hAnsi="Calibri" w:cs="Calibri"/>
          <w:color w:val="000000"/>
          <w:sz w:val="22"/>
          <w:szCs w:val="22"/>
          <w:lang w:eastAsia="en-US"/>
        </w:rPr>
        <w:t>celle-ci</w:t>
      </w:r>
      <w:r w:rsidR="0096434D">
        <w:rPr>
          <w:rFonts w:ascii="Calibri" w:hAnsi="Calibri" w:cs="Calibri"/>
          <w:color w:val="000000"/>
          <w:sz w:val="22"/>
          <w:szCs w:val="22"/>
          <w:lang w:eastAsia="en-US"/>
        </w:rPr>
        <w:t>.</w:t>
      </w:r>
    </w:p>
    <w:p w14:paraId="31CD41C2" w14:textId="5105CF7C" w:rsidR="00BE4E16" w:rsidRDefault="0096434D" w:rsidP="00BE4E16">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 xml:space="preserve">La délibération de lancement de la procédure précise que le projet de modification devra veiller à ne pas entrainer une </w:t>
      </w:r>
      <w:r w:rsidR="00CF4814">
        <w:rPr>
          <w:rFonts w:ascii="Calibri" w:hAnsi="Calibri" w:cs="Calibri"/>
          <w:color w:val="000000"/>
          <w:sz w:val="22"/>
          <w:szCs w:val="22"/>
          <w:lang w:eastAsia="en-US"/>
        </w:rPr>
        <w:t>concurrence</w:t>
      </w:r>
      <w:r>
        <w:rPr>
          <w:rFonts w:ascii="Calibri" w:hAnsi="Calibri" w:cs="Calibri"/>
          <w:color w:val="000000"/>
          <w:sz w:val="22"/>
          <w:szCs w:val="22"/>
          <w:lang w:eastAsia="en-US"/>
        </w:rPr>
        <w:t xml:space="preserve"> avec les activités économiques existante</w:t>
      </w:r>
      <w:r w:rsidR="00CF4814">
        <w:rPr>
          <w:rFonts w:ascii="Calibri" w:hAnsi="Calibri" w:cs="Calibri"/>
          <w:color w:val="000000"/>
          <w:sz w:val="22"/>
          <w:szCs w:val="22"/>
          <w:lang w:eastAsia="en-US"/>
        </w:rPr>
        <w:t>s (commerces de bouche et commerces de proximité</w:t>
      </w:r>
      <w:r w:rsidR="00E245EF">
        <w:rPr>
          <w:rFonts w:ascii="Calibri" w:hAnsi="Calibri" w:cs="Calibri"/>
          <w:color w:val="000000"/>
          <w:sz w:val="22"/>
          <w:szCs w:val="22"/>
          <w:lang w:eastAsia="en-US"/>
        </w:rPr>
        <w:t>). Afin d’éviter cela, le règlement de la sous zone UYa limitera l’implantation des commerce</w:t>
      </w:r>
      <w:r w:rsidR="00195B6D">
        <w:rPr>
          <w:rFonts w:ascii="Calibri" w:hAnsi="Calibri" w:cs="Calibri"/>
          <w:color w:val="000000"/>
          <w:sz w:val="22"/>
          <w:szCs w:val="22"/>
          <w:lang w:eastAsia="en-US"/>
        </w:rPr>
        <w:t>s</w:t>
      </w:r>
      <w:r w:rsidR="004F3127">
        <w:rPr>
          <w:rFonts w:ascii="Calibri" w:hAnsi="Calibri" w:cs="Calibri"/>
          <w:color w:val="000000"/>
          <w:sz w:val="22"/>
          <w:szCs w:val="22"/>
          <w:lang w:eastAsia="en-US"/>
        </w:rPr>
        <w:t xml:space="preserve"> en exigeant</w:t>
      </w:r>
      <w:r w:rsidR="00E245EF">
        <w:rPr>
          <w:rFonts w:ascii="Calibri" w:hAnsi="Calibri" w:cs="Calibri"/>
          <w:color w:val="000000"/>
          <w:sz w:val="22"/>
          <w:szCs w:val="22"/>
          <w:lang w:eastAsia="en-US"/>
        </w:rPr>
        <w:t xml:space="preserve"> </w:t>
      </w:r>
      <w:r w:rsidR="005F67CE">
        <w:rPr>
          <w:rFonts w:ascii="Calibri" w:hAnsi="Calibri" w:cs="Calibri"/>
          <w:color w:val="000000"/>
          <w:sz w:val="22"/>
          <w:szCs w:val="22"/>
          <w:lang w:eastAsia="en-US"/>
        </w:rPr>
        <w:t xml:space="preserve">qu’ils soient liés à </w:t>
      </w:r>
      <w:r w:rsidR="00E245EF">
        <w:rPr>
          <w:rFonts w:ascii="Calibri" w:hAnsi="Calibri" w:cs="Calibri"/>
          <w:color w:val="000000"/>
          <w:sz w:val="22"/>
          <w:szCs w:val="22"/>
          <w:lang w:eastAsia="en-US"/>
        </w:rPr>
        <w:t>une activité de production d’artisanat</w:t>
      </w:r>
      <w:r w:rsidR="00DB175B">
        <w:rPr>
          <w:rFonts w:ascii="Calibri" w:hAnsi="Calibri" w:cs="Calibri"/>
          <w:color w:val="000000"/>
          <w:sz w:val="22"/>
          <w:szCs w:val="22"/>
          <w:lang w:eastAsia="en-US"/>
        </w:rPr>
        <w:t xml:space="preserve"> </w:t>
      </w:r>
      <w:r w:rsidR="005F67CE">
        <w:rPr>
          <w:rFonts w:ascii="Calibri" w:hAnsi="Calibri" w:cs="Calibri"/>
          <w:color w:val="000000"/>
          <w:sz w:val="22"/>
          <w:szCs w:val="22"/>
          <w:lang w:eastAsia="en-US"/>
        </w:rPr>
        <w:t>ou</w:t>
      </w:r>
      <w:r w:rsidR="00E245EF">
        <w:rPr>
          <w:rFonts w:ascii="Calibri" w:hAnsi="Calibri" w:cs="Calibri"/>
          <w:color w:val="000000"/>
          <w:sz w:val="22"/>
          <w:szCs w:val="22"/>
          <w:lang w:eastAsia="en-US"/>
        </w:rPr>
        <w:t xml:space="preserve"> d’industrie</w:t>
      </w:r>
      <w:r w:rsidR="004F3127">
        <w:rPr>
          <w:rFonts w:ascii="Calibri" w:hAnsi="Calibri" w:cs="Calibri"/>
          <w:color w:val="000000"/>
          <w:sz w:val="22"/>
          <w:szCs w:val="22"/>
          <w:lang w:eastAsia="en-US"/>
        </w:rPr>
        <w:t xml:space="preserve"> sur le tènement foncier</w:t>
      </w:r>
      <w:r w:rsidR="00E245EF">
        <w:rPr>
          <w:rFonts w:ascii="Calibri" w:hAnsi="Calibri" w:cs="Calibri"/>
          <w:color w:val="000000"/>
          <w:sz w:val="22"/>
          <w:szCs w:val="22"/>
          <w:lang w:eastAsia="en-US"/>
        </w:rPr>
        <w:t>.</w:t>
      </w:r>
    </w:p>
    <w:p w14:paraId="2A606B0C" w14:textId="77777777" w:rsidR="001E791E" w:rsidRDefault="001E791E" w:rsidP="00BE4E16">
      <w:pPr>
        <w:autoSpaceDE w:val="0"/>
        <w:autoSpaceDN w:val="0"/>
        <w:adjustRightInd w:val="0"/>
        <w:spacing w:before="0"/>
        <w:rPr>
          <w:rFonts w:ascii="Calibri" w:hAnsi="Calibri" w:cs="Calibri"/>
          <w:color w:val="000000"/>
          <w:sz w:val="22"/>
          <w:szCs w:val="22"/>
          <w:lang w:eastAsia="en-US"/>
        </w:rPr>
      </w:pPr>
    </w:p>
    <w:p w14:paraId="4FF76E58" w14:textId="77777777" w:rsidR="001E791E" w:rsidRDefault="001E791E" w:rsidP="00BE4E16">
      <w:pPr>
        <w:autoSpaceDE w:val="0"/>
        <w:autoSpaceDN w:val="0"/>
        <w:adjustRightInd w:val="0"/>
        <w:spacing w:before="0"/>
        <w:rPr>
          <w:rFonts w:ascii="Calibri" w:hAnsi="Calibri" w:cs="Calibri"/>
          <w:color w:val="000000"/>
          <w:sz w:val="22"/>
          <w:szCs w:val="22"/>
          <w:lang w:eastAsia="en-US"/>
        </w:rPr>
      </w:pPr>
      <w:r w:rsidRPr="001E791E">
        <w:rPr>
          <w:rFonts w:ascii="Calibri" w:hAnsi="Calibri" w:cs="Calibri"/>
          <w:noProof/>
          <w:color w:val="000000"/>
          <w:sz w:val="22"/>
          <w:szCs w:val="22"/>
        </w:rPr>
        <w:drawing>
          <wp:inline distT="0" distB="0" distL="0" distR="0" wp14:anchorId="1ECEF943" wp14:editId="053D4E35">
            <wp:extent cx="5760720" cy="1708150"/>
            <wp:effectExtent l="0" t="0" r="0" b="635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1708150"/>
                    </a:xfrm>
                    <a:prstGeom prst="rect">
                      <a:avLst/>
                    </a:prstGeom>
                  </pic:spPr>
                </pic:pic>
              </a:graphicData>
            </a:graphic>
          </wp:inline>
        </w:drawing>
      </w:r>
    </w:p>
    <w:p w14:paraId="62510EA4" w14:textId="77777777" w:rsidR="001E791E" w:rsidRPr="001E791E" w:rsidRDefault="001E791E" w:rsidP="00BE4E16">
      <w:pPr>
        <w:autoSpaceDE w:val="0"/>
        <w:autoSpaceDN w:val="0"/>
        <w:adjustRightInd w:val="0"/>
        <w:spacing w:before="0"/>
        <w:rPr>
          <w:rFonts w:ascii="Calibri" w:hAnsi="Calibri" w:cs="Calibri"/>
          <w:i/>
          <w:color w:val="000000"/>
          <w:szCs w:val="22"/>
          <w:lang w:eastAsia="en-US"/>
        </w:rPr>
      </w:pPr>
      <w:r w:rsidRPr="001E791E">
        <w:rPr>
          <w:rFonts w:ascii="Calibri" w:hAnsi="Calibri" w:cs="Calibri"/>
          <w:i/>
          <w:color w:val="000000"/>
          <w:szCs w:val="22"/>
          <w:lang w:eastAsia="en-US"/>
        </w:rPr>
        <w:t>Tableau issus du RP 2020 de l’INSEE – L’indicateur de concentration d’emploi est en constante augmentation.</w:t>
      </w:r>
    </w:p>
    <w:p w14:paraId="5AABA043" w14:textId="77777777" w:rsidR="00581A0B" w:rsidRDefault="00581A0B">
      <w:pPr>
        <w:spacing w:before="0" w:after="160" w:line="259" w:lineRule="auto"/>
        <w:jc w:val="left"/>
      </w:pPr>
    </w:p>
    <w:p w14:paraId="05301FC2" w14:textId="3054C16B" w:rsidR="00445714" w:rsidRDefault="00445714" w:rsidP="00445714">
      <w:pPr>
        <w:spacing w:before="0" w:after="160" w:line="259" w:lineRule="auto"/>
      </w:pPr>
      <w:r>
        <w:t>La mise en place de ce site pourrait augmenter le trafic sur les deux routes à</w:t>
      </w:r>
      <w:r w:rsidR="005F67CE">
        <w:t xml:space="preserve"> proximité du projet. Ainsi la C</w:t>
      </w:r>
      <w:r>
        <w:t xml:space="preserve">ommune, en lien avec le </w:t>
      </w:r>
      <w:r w:rsidR="005F67CE">
        <w:t>D</w:t>
      </w:r>
      <w:r>
        <w:t xml:space="preserve">épartement et </w:t>
      </w:r>
      <w:r w:rsidR="005F67CE">
        <w:t>l’I</w:t>
      </w:r>
      <w:r>
        <w:t>ntercommunalité, prévoit la création d’un giratoire permettant de fluidifier et sécuriser le trafic sur ce secteur.</w:t>
      </w:r>
    </w:p>
    <w:p w14:paraId="223EFACB" w14:textId="77777777" w:rsidR="000877BF" w:rsidRDefault="00536BCE">
      <w:pPr>
        <w:spacing w:before="0" w:after="160" w:line="259" w:lineRule="auto"/>
        <w:jc w:val="left"/>
        <w:rPr>
          <w:i/>
        </w:rPr>
      </w:pPr>
      <w:r w:rsidRPr="000877BF">
        <w:rPr>
          <w:i/>
          <w:noProof/>
        </w:rPr>
        <w:drawing>
          <wp:anchor distT="0" distB="0" distL="114300" distR="114300" simplePos="0" relativeHeight="251729920" behindDoc="1" locked="0" layoutInCell="1" allowOverlap="1" wp14:anchorId="1BEDEE55" wp14:editId="11DCEF03">
            <wp:simplePos x="0" y="0"/>
            <wp:positionH relativeFrom="column">
              <wp:posOffset>-1905</wp:posOffset>
            </wp:positionH>
            <wp:positionV relativeFrom="paragraph">
              <wp:posOffset>635</wp:posOffset>
            </wp:positionV>
            <wp:extent cx="4745990" cy="2688590"/>
            <wp:effectExtent l="0" t="0" r="0" b="0"/>
            <wp:wrapTight wrapText="bothSides">
              <wp:wrapPolygon edited="0">
                <wp:start x="0" y="0"/>
                <wp:lineTo x="0" y="21427"/>
                <wp:lineTo x="21502" y="21427"/>
                <wp:lineTo x="21502"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45990" cy="2688590"/>
                    </a:xfrm>
                    <a:prstGeom prst="rect">
                      <a:avLst/>
                    </a:prstGeom>
                  </pic:spPr>
                </pic:pic>
              </a:graphicData>
            </a:graphic>
            <wp14:sizeRelH relativeFrom="margin">
              <wp14:pctWidth>0</wp14:pctWidth>
            </wp14:sizeRelH>
            <wp14:sizeRelV relativeFrom="margin">
              <wp14:pctHeight>0</wp14:pctHeight>
            </wp14:sizeRelV>
          </wp:anchor>
        </w:drawing>
      </w:r>
    </w:p>
    <w:p w14:paraId="652802C1" w14:textId="77777777" w:rsidR="00445714" w:rsidRPr="000877BF" w:rsidRDefault="000877BF" w:rsidP="005F67CE">
      <w:pPr>
        <w:spacing w:before="0" w:after="160" w:line="259" w:lineRule="auto"/>
        <w:jc w:val="center"/>
        <w:rPr>
          <w:i/>
        </w:rPr>
      </w:pPr>
      <w:r>
        <w:rPr>
          <w:i/>
        </w:rPr>
        <w:t>E</w:t>
      </w:r>
      <w:r w:rsidR="00536BCE" w:rsidRPr="000877BF">
        <w:rPr>
          <w:i/>
        </w:rPr>
        <w:t>xtrait de l’avant-projet d’aménagement du giratoire – source Département de la Gironde</w:t>
      </w:r>
    </w:p>
    <w:p w14:paraId="4AFE8B1E" w14:textId="77777777" w:rsidR="00536BCE" w:rsidRDefault="00536BCE">
      <w:pPr>
        <w:spacing w:before="0" w:after="160" w:line="259" w:lineRule="auto"/>
        <w:jc w:val="left"/>
      </w:pPr>
    </w:p>
    <w:p w14:paraId="222BD20C" w14:textId="77777777" w:rsidR="00536BCE" w:rsidRDefault="00536BCE">
      <w:pPr>
        <w:spacing w:before="0" w:after="160" w:line="259" w:lineRule="auto"/>
        <w:jc w:val="left"/>
      </w:pPr>
    </w:p>
    <w:p w14:paraId="0625C92A" w14:textId="77777777" w:rsidR="00536BCE" w:rsidRDefault="00536BCE">
      <w:pPr>
        <w:spacing w:before="0" w:after="160" w:line="259" w:lineRule="auto"/>
        <w:jc w:val="left"/>
      </w:pPr>
    </w:p>
    <w:p w14:paraId="72A30993" w14:textId="77777777" w:rsidR="00536BCE" w:rsidRDefault="00536BCE">
      <w:pPr>
        <w:spacing w:before="0" w:after="160" w:line="259" w:lineRule="auto"/>
        <w:jc w:val="left"/>
      </w:pPr>
    </w:p>
    <w:p w14:paraId="73B34AE1" w14:textId="77777777" w:rsidR="00536BCE" w:rsidRDefault="00536BCE">
      <w:pPr>
        <w:spacing w:before="0" w:after="160" w:line="259" w:lineRule="auto"/>
        <w:jc w:val="left"/>
      </w:pPr>
    </w:p>
    <w:p w14:paraId="404C8AF5" w14:textId="77777777" w:rsidR="00101305" w:rsidRDefault="00101305" w:rsidP="00101305">
      <w:pPr>
        <w:pStyle w:val="02-Titre2"/>
      </w:pPr>
      <w:bookmarkStart w:id="4" w:name="_Toc133996596"/>
      <w:r>
        <w:lastRenderedPageBreak/>
        <w:t>Evaluation des incidences sur le paysage</w:t>
      </w:r>
      <w:bookmarkEnd w:id="4"/>
      <w:r>
        <w:t xml:space="preserve"> </w:t>
      </w:r>
    </w:p>
    <w:p w14:paraId="537B9E29" w14:textId="77777777" w:rsidR="008D4727" w:rsidRDefault="008D4727" w:rsidP="008D4727">
      <w:pPr>
        <w:autoSpaceDE w:val="0"/>
        <w:autoSpaceDN w:val="0"/>
        <w:adjustRightInd w:val="0"/>
        <w:spacing w:before="0"/>
        <w:rPr>
          <w:rFonts w:ascii="Calibri" w:hAnsi="Calibri" w:cs="Calibri"/>
          <w:color w:val="000000"/>
          <w:sz w:val="22"/>
          <w:szCs w:val="22"/>
          <w:lang w:eastAsia="en-US"/>
        </w:rPr>
      </w:pPr>
    </w:p>
    <w:p w14:paraId="486F7DD6" w14:textId="77777777" w:rsidR="00102939" w:rsidRDefault="008D4727" w:rsidP="001E791E">
      <w:pPr>
        <w:autoSpaceDE w:val="0"/>
        <w:autoSpaceDN w:val="0"/>
        <w:adjustRightInd w:val="0"/>
        <w:spacing w:before="0"/>
        <w:rPr>
          <w:rFonts w:ascii="Calibri" w:hAnsi="Calibri" w:cs="Calibri"/>
          <w:color w:val="000000"/>
          <w:sz w:val="22"/>
          <w:szCs w:val="22"/>
          <w:lang w:eastAsia="en-US"/>
        </w:rPr>
      </w:pPr>
      <w:r w:rsidRPr="00335654">
        <w:rPr>
          <w:rFonts w:ascii="Calibri" w:hAnsi="Calibri" w:cs="Calibri"/>
          <w:color w:val="000000"/>
          <w:sz w:val="22"/>
          <w:szCs w:val="22"/>
          <w:lang w:eastAsia="en-US"/>
        </w:rPr>
        <w:t xml:space="preserve">Le territoire est marqué à l’ouest par un paysage </w:t>
      </w:r>
      <w:r w:rsidR="001E791E">
        <w:rPr>
          <w:rFonts w:ascii="Calibri" w:hAnsi="Calibri" w:cs="Calibri"/>
          <w:color w:val="000000"/>
          <w:sz w:val="22"/>
          <w:szCs w:val="22"/>
          <w:lang w:eastAsia="en-US"/>
        </w:rPr>
        <w:t xml:space="preserve">naturel composé de divers boisements, suivant le lit de l’Isle. Ce corridor naturel à l’échelle régionale est un élément structurant de la commune car il représente près de 75% de son territoire. </w:t>
      </w:r>
    </w:p>
    <w:p w14:paraId="78925194" w14:textId="1E3BEA32" w:rsidR="00DB175B" w:rsidRDefault="001E791E" w:rsidP="001E791E">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 xml:space="preserve">Le secteur de la modification du PLU se localise au sein de </w:t>
      </w:r>
      <w:r w:rsidR="00102939">
        <w:rPr>
          <w:rFonts w:ascii="Calibri" w:hAnsi="Calibri" w:cs="Calibri"/>
          <w:color w:val="000000"/>
          <w:sz w:val="22"/>
          <w:szCs w:val="22"/>
          <w:lang w:eastAsia="en-US"/>
        </w:rPr>
        <w:t>l’enveloppe urbaine de la commune mais reste à proximité des espaces viticoles à l’Est, sur le ter</w:t>
      </w:r>
      <w:r w:rsidR="00DB175B">
        <w:rPr>
          <w:rFonts w:ascii="Calibri" w:hAnsi="Calibri" w:cs="Calibri"/>
          <w:color w:val="000000"/>
          <w:sz w:val="22"/>
          <w:szCs w:val="22"/>
          <w:lang w:eastAsia="en-US"/>
        </w:rPr>
        <w:t xml:space="preserve">ritoire de la commune de Viaud. D’autres sociétés sont déjà implanté à proximité immédiate du site, le long de la DR910. </w:t>
      </w:r>
    </w:p>
    <w:p w14:paraId="557AFD78" w14:textId="627333AD" w:rsidR="00DB175B" w:rsidRDefault="00DB175B" w:rsidP="001E791E">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 xml:space="preserve">Afin de limiter au maximum l’impact sur le paysage, l’article 12 du règlement UY a été modifié comme suit : </w:t>
      </w:r>
    </w:p>
    <w:p w14:paraId="72B7EB39" w14:textId="6EF7BD8A" w:rsidR="00DB175B" w:rsidRDefault="00DB175B" w:rsidP="001E791E">
      <w:pPr>
        <w:autoSpaceDE w:val="0"/>
        <w:autoSpaceDN w:val="0"/>
        <w:adjustRightInd w:val="0"/>
        <w:spacing w:before="0"/>
        <w:rPr>
          <w:rFonts w:ascii="Calibri" w:hAnsi="Calibri" w:cs="Calibri"/>
          <w:color w:val="000000"/>
          <w:sz w:val="22"/>
          <w:szCs w:val="22"/>
          <w:lang w:eastAsia="en-US"/>
        </w:rPr>
      </w:pPr>
      <w:r w:rsidRPr="00DB175B">
        <w:rPr>
          <w:rFonts w:ascii="Calibri" w:hAnsi="Calibri" w:cs="Calibri"/>
          <w:noProof/>
          <w:color w:val="000000"/>
          <w:sz w:val="22"/>
          <w:szCs w:val="22"/>
        </w:rPr>
        <w:drawing>
          <wp:inline distT="0" distB="0" distL="0" distR="0" wp14:anchorId="312F4654" wp14:editId="1944FCF7">
            <wp:extent cx="5760720" cy="2260600"/>
            <wp:effectExtent l="0" t="0" r="0" b="635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2260600"/>
                    </a:xfrm>
                    <a:prstGeom prst="rect">
                      <a:avLst/>
                    </a:prstGeom>
                  </pic:spPr>
                </pic:pic>
              </a:graphicData>
            </a:graphic>
          </wp:inline>
        </w:drawing>
      </w:r>
    </w:p>
    <w:p w14:paraId="36754497" w14:textId="44F571C9" w:rsidR="00DB175B" w:rsidRDefault="00DB175B" w:rsidP="001E791E">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Cette nouvelle règlementation permet de limiter la répétition d’espaces monotones de types « entrée de ville », de diversifier les couverts végétaux et d’être plus résiliant face au changement climatique en réduisant l’effet « ilot de chaleur ».</w:t>
      </w:r>
    </w:p>
    <w:p w14:paraId="17FD669D" w14:textId="0AF89CB6" w:rsidR="00DB175B" w:rsidRDefault="00DB175B" w:rsidP="001E791E">
      <w:pPr>
        <w:autoSpaceDE w:val="0"/>
        <w:autoSpaceDN w:val="0"/>
        <w:adjustRightInd w:val="0"/>
        <w:spacing w:before="0"/>
        <w:rPr>
          <w:rFonts w:ascii="Calibri" w:hAnsi="Calibri" w:cs="Calibri"/>
          <w:color w:val="000000"/>
          <w:sz w:val="22"/>
          <w:szCs w:val="22"/>
          <w:lang w:eastAsia="en-US"/>
        </w:rPr>
      </w:pPr>
    </w:p>
    <w:p w14:paraId="7EA0987A" w14:textId="3D2C8B15" w:rsidR="00DB175B" w:rsidRPr="00DB175B" w:rsidRDefault="00DB175B" w:rsidP="00DB175B">
      <w:pPr>
        <w:rPr>
          <w:rStyle w:val="Textedelespacerserv"/>
          <w:b/>
          <w:color w:val="auto"/>
          <w:u w:val="single"/>
        </w:rPr>
      </w:pPr>
      <w:r w:rsidRPr="00DB175B">
        <w:rPr>
          <w:rStyle w:val="Textedelespacerserv"/>
          <w:b/>
          <w:color w:val="auto"/>
          <w:u w:val="single"/>
        </w:rPr>
        <w:t>Angles de vue sur le site du projet depuis l’espace public :</w:t>
      </w:r>
    </w:p>
    <w:tbl>
      <w:tblPr>
        <w:tblStyle w:val="Grilledutableau"/>
        <w:tblW w:w="0" w:type="auto"/>
        <w:tblLook w:val="04A0" w:firstRow="1" w:lastRow="0" w:firstColumn="1" w:lastColumn="0" w:noHBand="0" w:noVBand="1"/>
      </w:tblPr>
      <w:tblGrid>
        <w:gridCol w:w="4542"/>
        <w:gridCol w:w="4520"/>
      </w:tblGrid>
      <w:tr w:rsidR="00102939" w14:paraId="56C704CB" w14:textId="77777777" w:rsidTr="00102939">
        <w:tc>
          <w:tcPr>
            <w:tcW w:w="4531" w:type="dxa"/>
          </w:tcPr>
          <w:p w14:paraId="151201DC" w14:textId="77777777" w:rsidR="00102939" w:rsidRDefault="00102939" w:rsidP="001E791E">
            <w:pPr>
              <w:autoSpaceDE w:val="0"/>
              <w:autoSpaceDN w:val="0"/>
              <w:adjustRightInd w:val="0"/>
              <w:spacing w:before="0"/>
              <w:rPr>
                <w:rFonts w:ascii="Calibri" w:hAnsi="Calibri" w:cs="Calibri"/>
                <w:color w:val="000000"/>
                <w:sz w:val="22"/>
                <w:szCs w:val="22"/>
                <w:lang w:eastAsia="en-US"/>
              </w:rPr>
            </w:pPr>
            <w:r w:rsidRPr="00102939">
              <w:rPr>
                <w:rFonts w:ascii="Calibri" w:hAnsi="Calibri" w:cs="Calibri"/>
                <w:noProof/>
                <w:color w:val="000000"/>
                <w:sz w:val="22"/>
                <w:szCs w:val="22"/>
              </w:rPr>
              <w:drawing>
                <wp:inline distT="0" distB="0" distL="0" distR="0" wp14:anchorId="63CA03CB" wp14:editId="58005FB2">
                  <wp:extent cx="3087109" cy="2104352"/>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93351" cy="2108607"/>
                          </a:xfrm>
                          <a:prstGeom prst="rect">
                            <a:avLst/>
                          </a:prstGeom>
                        </pic:spPr>
                      </pic:pic>
                    </a:graphicData>
                  </a:graphic>
                </wp:inline>
              </w:drawing>
            </w:r>
          </w:p>
        </w:tc>
        <w:tc>
          <w:tcPr>
            <w:tcW w:w="4531" w:type="dxa"/>
          </w:tcPr>
          <w:p w14:paraId="6EDE0732" w14:textId="77777777" w:rsidR="00102939" w:rsidRDefault="00102939" w:rsidP="001E791E">
            <w:pPr>
              <w:autoSpaceDE w:val="0"/>
              <w:autoSpaceDN w:val="0"/>
              <w:adjustRightInd w:val="0"/>
              <w:spacing w:before="0"/>
              <w:ind w:left="-84"/>
              <w:rPr>
                <w:rFonts w:ascii="Calibri" w:hAnsi="Calibri" w:cs="Calibri"/>
                <w:color w:val="000000"/>
                <w:sz w:val="22"/>
                <w:szCs w:val="22"/>
                <w:lang w:eastAsia="en-US"/>
              </w:rPr>
            </w:pPr>
            <w:r w:rsidRPr="00102939">
              <w:rPr>
                <w:rFonts w:ascii="Calibri" w:hAnsi="Calibri" w:cs="Calibri"/>
                <w:noProof/>
                <w:color w:val="000000"/>
                <w:sz w:val="22"/>
                <w:szCs w:val="22"/>
              </w:rPr>
              <w:drawing>
                <wp:inline distT="0" distB="0" distL="0" distR="0" wp14:anchorId="216402D6" wp14:editId="14CD970C">
                  <wp:extent cx="3124200" cy="2056765"/>
                  <wp:effectExtent l="0" t="0" r="0" b="63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7642" r="4906"/>
                          <a:stretch/>
                        </pic:blipFill>
                        <pic:spPr bwMode="auto">
                          <a:xfrm>
                            <a:off x="0" y="0"/>
                            <a:ext cx="3138649" cy="2066277"/>
                          </a:xfrm>
                          <a:prstGeom prst="rect">
                            <a:avLst/>
                          </a:prstGeom>
                          <a:ln>
                            <a:noFill/>
                          </a:ln>
                          <a:extLst>
                            <a:ext uri="{53640926-AAD7-44D8-BBD7-CCE9431645EC}">
                              <a14:shadowObscured xmlns:a14="http://schemas.microsoft.com/office/drawing/2010/main"/>
                            </a:ext>
                          </a:extLst>
                        </pic:spPr>
                      </pic:pic>
                    </a:graphicData>
                  </a:graphic>
                </wp:inline>
              </w:drawing>
            </w:r>
          </w:p>
        </w:tc>
      </w:tr>
      <w:tr w:rsidR="00102939" w14:paraId="3B3991D9" w14:textId="77777777" w:rsidTr="00102939">
        <w:tc>
          <w:tcPr>
            <w:tcW w:w="4531" w:type="dxa"/>
          </w:tcPr>
          <w:p w14:paraId="2C0FD4DC" w14:textId="77777777" w:rsidR="00102939" w:rsidRDefault="00102939" w:rsidP="001E791E">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Vue du site depuis la rue des Annereaux</w:t>
            </w:r>
          </w:p>
        </w:tc>
        <w:tc>
          <w:tcPr>
            <w:tcW w:w="4531" w:type="dxa"/>
          </w:tcPr>
          <w:p w14:paraId="7665D216" w14:textId="77777777" w:rsidR="00102939" w:rsidRDefault="00102939" w:rsidP="001E791E">
            <w:pPr>
              <w:autoSpaceDE w:val="0"/>
              <w:autoSpaceDN w:val="0"/>
              <w:adjustRightInd w:val="0"/>
              <w:spacing w:before="0"/>
              <w:rPr>
                <w:rFonts w:ascii="Calibri" w:hAnsi="Calibri" w:cs="Calibri"/>
                <w:color w:val="000000"/>
                <w:sz w:val="22"/>
                <w:szCs w:val="22"/>
                <w:lang w:eastAsia="en-US"/>
              </w:rPr>
            </w:pPr>
            <w:r>
              <w:rPr>
                <w:rFonts w:ascii="Calibri" w:hAnsi="Calibri" w:cs="Calibri"/>
                <w:color w:val="000000"/>
                <w:sz w:val="22"/>
                <w:szCs w:val="22"/>
                <w:lang w:eastAsia="en-US"/>
              </w:rPr>
              <w:t>Vue du site depuis la route de Paris</w:t>
            </w:r>
          </w:p>
        </w:tc>
      </w:tr>
    </w:tbl>
    <w:p w14:paraId="2A9D156A" w14:textId="77777777" w:rsidR="00102939" w:rsidRDefault="00102939" w:rsidP="001E791E">
      <w:pPr>
        <w:autoSpaceDE w:val="0"/>
        <w:autoSpaceDN w:val="0"/>
        <w:adjustRightInd w:val="0"/>
        <w:spacing w:before="0"/>
        <w:rPr>
          <w:rFonts w:ascii="Calibri" w:hAnsi="Calibri" w:cs="Calibri"/>
          <w:color w:val="000000"/>
          <w:sz w:val="22"/>
          <w:szCs w:val="22"/>
          <w:lang w:eastAsia="en-US"/>
        </w:rPr>
      </w:pPr>
    </w:p>
    <w:p w14:paraId="674B4657" w14:textId="77777777" w:rsidR="008D4727" w:rsidRPr="00195B5B" w:rsidRDefault="00DD16AE" w:rsidP="00195B5B">
      <w:pPr>
        <w:rPr>
          <w:rStyle w:val="Textedelespacerserv"/>
          <w:b/>
          <w:color w:val="auto"/>
          <w:u w:val="single"/>
        </w:rPr>
      </w:pPr>
      <w:r>
        <w:rPr>
          <w:rStyle w:val="Textedelespacerserv"/>
          <w:b/>
          <w:color w:val="auto"/>
          <w:u w:val="single"/>
        </w:rPr>
        <w:t xml:space="preserve">Extrait du </w:t>
      </w:r>
      <w:r w:rsidR="00E612AF">
        <w:rPr>
          <w:rStyle w:val="Textedelespacerserv"/>
          <w:b/>
          <w:color w:val="auto"/>
          <w:u w:val="single"/>
        </w:rPr>
        <w:t xml:space="preserve">PLU </w:t>
      </w:r>
      <w:r w:rsidR="008D4727" w:rsidRPr="00195B5B">
        <w:rPr>
          <w:rStyle w:val="Textedelespacerserv"/>
          <w:b/>
          <w:color w:val="auto"/>
          <w:u w:val="single"/>
        </w:rPr>
        <w:t xml:space="preserve">: </w:t>
      </w:r>
    </w:p>
    <w:p w14:paraId="4DD678B5" w14:textId="77777777" w:rsidR="00EB271C" w:rsidRDefault="00062548" w:rsidP="00062548">
      <w:pPr>
        <w:autoSpaceDE w:val="0"/>
        <w:autoSpaceDN w:val="0"/>
        <w:adjustRightInd w:val="0"/>
        <w:spacing w:before="0"/>
        <w:rPr>
          <w:rFonts w:ascii="Calibri" w:hAnsi="Calibri" w:cs="Calibri"/>
          <w:color w:val="000000"/>
          <w:sz w:val="22"/>
          <w:szCs w:val="22"/>
          <w:lang w:eastAsia="en-US"/>
        </w:rPr>
      </w:pPr>
      <w:r w:rsidRPr="00062548">
        <w:rPr>
          <w:rFonts w:ascii="Calibri" w:hAnsi="Calibri" w:cs="Calibri"/>
          <w:noProof/>
          <w:color w:val="000000"/>
          <w:sz w:val="22"/>
          <w:szCs w:val="22"/>
        </w:rPr>
        <w:lastRenderedPageBreak/>
        <w:drawing>
          <wp:inline distT="0" distB="0" distL="0" distR="0" wp14:anchorId="2E286FE4" wp14:editId="60595112">
            <wp:extent cx="5760720" cy="529907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5299075"/>
                    </a:xfrm>
                    <a:prstGeom prst="rect">
                      <a:avLst/>
                    </a:prstGeom>
                  </pic:spPr>
                </pic:pic>
              </a:graphicData>
            </a:graphic>
          </wp:inline>
        </w:drawing>
      </w:r>
    </w:p>
    <w:p w14:paraId="37E19052" w14:textId="77777777" w:rsidR="00E612AF" w:rsidRDefault="00E612AF" w:rsidP="00062548">
      <w:pPr>
        <w:autoSpaceDE w:val="0"/>
        <w:autoSpaceDN w:val="0"/>
        <w:adjustRightInd w:val="0"/>
        <w:spacing w:before="0"/>
        <w:rPr>
          <w:rFonts w:ascii="Calibri" w:hAnsi="Calibri" w:cs="Calibri"/>
          <w:color w:val="000000"/>
          <w:sz w:val="22"/>
          <w:szCs w:val="22"/>
          <w:lang w:eastAsia="en-US"/>
        </w:rPr>
      </w:pPr>
      <w:r w:rsidRPr="00E612AF">
        <w:rPr>
          <w:rFonts w:ascii="Calibri" w:hAnsi="Calibri" w:cs="Calibri"/>
          <w:noProof/>
          <w:color w:val="000000"/>
          <w:sz w:val="22"/>
          <w:szCs w:val="22"/>
        </w:rPr>
        <w:drawing>
          <wp:inline distT="0" distB="0" distL="0" distR="0" wp14:anchorId="5D88182C" wp14:editId="49143AC2">
            <wp:extent cx="5760720" cy="294259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2942590"/>
                    </a:xfrm>
                    <a:prstGeom prst="rect">
                      <a:avLst/>
                    </a:prstGeom>
                  </pic:spPr>
                </pic:pic>
              </a:graphicData>
            </a:graphic>
          </wp:inline>
        </w:drawing>
      </w:r>
    </w:p>
    <w:p w14:paraId="636A6816" w14:textId="77777777" w:rsidR="00E612AF" w:rsidRPr="00062548" w:rsidRDefault="00E612AF" w:rsidP="00062548">
      <w:pPr>
        <w:autoSpaceDE w:val="0"/>
        <w:autoSpaceDN w:val="0"/>
        <w:adjustRightInd w:val="0"/>
        <w:spacing w:before="0"/>
        <w:rPr>
          <w:rFonts w:ascii="Calibri" w:hAnsi="Calibri" w:cs="Calibri"/>
          <w:color w:val="000000"/>
          <w:sz w:val="22"/>
          <w:szCs w:val="22"/>
          <w:lang w:eastAsia="en-US"/>
        </w:rPr>
      </w:pPr>
      <w:r w:rsidRPr="00E612AF">
        <w:rPr>
          <w:rFonts w:ascii="Calibri" w:hAnsi="Calibri" w:cs="Calibri"/>
          <w:noProof/>
          <w:color w:val="000000"/>
          <w:sz w:val="22"/>
          <w:szCs w:val="22"/>
        </w:rPr>
        <w:lastRenderedPageBreak/>
        <w:drawing>
          <wp:inline distT="0" distB="0" distL="0" distR="0" wp14:anchorId="281EF819" wp14:editId="4720A5D5">
            <wp:extent cx="5760720" cy="3816985"/>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3816985"/>
                    </a:xfrm>
                    <a:prstGeom prst="rect">
                      <a:avLst/>
                    </a:prstGeom>
                  </pic:spPr>
                </pic:pic>
              </a:graphicData>
            </a:graphic>
          </wp:inline>
        </w:drawing>
      </w:r>
    </w:p>
    <w:p w14:paraId="04280D15" w14:textId="77777777" w:rsidR="00EB271C" w:rsidRDefault="00EB271C" w:rsidP="00B66CB7"/>
    <w:p w14:paraId="0F8A8020" w14:textId="77777777" w:rsidR="00EB271C" w:rsidRDefault="00EB271C" w:rsidP="00B66CB7"/>
    <w:p w14:paraId="4F620685" w14:textId="77777777" w:rsidR="00101305" w:rsidRDefault="00101305" w:rsidP="00101305">
      <w:pPr>
        <w:pStyle w:val="02-Titre2"/>
      </w:pPr>
      <w:bookmarkStart w:id="5" w:name="_Toc133996597"/>
      <w:r w:rsidRPr="00101305">
        <w:t>Evaluation des incidences sur le patrimoine naturel et la</w:t>
      </w:r>
      <w:r>
        <w:t xml:space="preserve"> biodiversité</w:t>
      </w:r>
      <w:bookmarkEnd w:id="5"/>
    </w:p>
    <w:p w14:paraId="7EA0ED4F" w14:textId="77777777" w:rsidR="00D840C6" w:rsidRDefault="00D840C6" w:rsidP="005719C0">
      <w:pPr>
        <w:autoSpaceDE w:val="0"/>
        <w:autoSpaceDN w:val="0"/>
        <w:adjustRightInd w:val="0"/>
        <w:spacing w:before="0"/>
        <w:rPr>
          <w:rFonts w:ascii="Calibri" w:hAnsi="Calibri" w:cs="Calibri"/>
          <w:color w:val="000000"/>
          <w:sz w:val="22"/>
          <w:szCs w:val="22"/>
          <w:lang w:eastAsia="en-US"/>
        </w:rPr>
      </w:pPr>
    </w:p>
    <w:p w14:paraId="7EBCFD76" w14:textId="5DF8D2B3" w:rsidR="00D840C6" w:rsidRDefault="00062548" w:rsidP="00C834BF">
      <w:pPr>
        <w:autoSpaceDE w:val="0"/>
        <w:autoSpaceDN w:val="0"/>
        <w:adjustRightInd w:val="0"/>
        <w:spacing w:before="0"/>
      </w:pPr>
      <w:r>
        <w:rPr>
          <w:rFonts w:ascii="Calibri" w:hAnsi="Calibri" w:cs="Calibri"/>
          <w:color w:val="000000"/>
          <w:sz w:val="22"/>
          <w:szCs w:val="22"/>
          <w:lang w:eastAsia="en-US"/>
        </w:rPr>
        <w:t xml:space="preserve">Le site du projet comprend déjà trois constructions </w:t>
      </w:r>
      <w:r w:rsidR="00D35870">
        <w:rPr>
          <w:rFonts w:ascii="Calibri" w:hAnsi="Calibri" w:cs="Calibri"/>
          <w:color w:val="000000"/>
          <w:sz w:val="22"/>
          <w:szCs w:val="22"/>
          <w:lang w:eastAsia="en-US"/>
        </w:rPr>
        <w:t>à usage d’habitation qui ont vocation à être transformées ou démolies. La trame verte et bleue déclinée au sein du PLU n’a pas identifi</w:t>
      </w:r>
      <w:r w:rsidR="005F67CE">
        <w:rPr>
          <w:rFonts w:ascii="Calibri" w:hAnsi="Calibri" w:cs="Calibri"/>
          <w:color w:val="000000"/>
          <w:sz w:val="22"/>
          <w:szCs w:val="22"/>
          <w:lang w:eastAsia="en-US"/>
        </w:rPr>
        <w:t>é</w:t>
      </w:r>
      <w:r w:rsidR="00D35870">
        <w:rPr>
          <w:rFonts w:ascii="Calibri" w:hAnsi="Calibri" w:cs="Calibri"/>
          <w:color w:val="000000"/>
          <w:sz w:val="22"/>
          <w:szCs w:val="22"/>
          <w:lang w:eastAsia="en-US"/>
        </w:rPr>
        <w:t xml:space="preserve"> d’enjeux majeur de corridor biologique à maintenir ou à créer sur ce secteur. En effet, la route de Paris forme u</w:t>
      </w:r>
      <w:r w:rsidR="00B30DBE">
        <w:rPr>
          <w:rFonts w:ascii="Calibri" w:hAnsi="Calibri" w:cs="Calibri"/>
          <w:color w:val="000000"/>
          <w:sz w:val="22"/>
          <w:szCs w:val="22"/>
          <w:lang w:eastAsia="en-US"/>
        </w:rPr>
        <w:t>ne barrière physique importante</w:t>
      </w:r>
      <w:r w:rsidR="00D83844">
        <w:rPr>
          <w:rFonts w:ascii="Calibri" w:hAnsi="Calibri" w:cs="Calibri"/>
          <w:color w:val="000000"/>
          <w:sz w:val="22"/>
          <w:szCs w:val="22"/>
          <w:lang w:eastAsia="en-US"/>
        </w:rPr>
        <w:t>, renforcée plus à l’est par l’enveloppe urbaine dans laquelle le site projet est situé (dent creuse).</w:t>
      </w:r>
    </w:p>
    <w:p w14:paraId="33548B2F" w14:textId="77777777" w:rsidR="00EB271C" w:rsidRPr="0060058F" w:rsidRDefault="00C834BF" w:rsidP="007014EE">
      <w:pPr>
        <w:rPr>
          <w:b/>
          <w:u w:val="single"/>
        </w:rPr>
      </w:pPr>
      <w:r w:rsidRPr="0060058F">
        <w:rPr>
          <w:b/>
          <w:u w:val="single"/>
        </w:rPr>
        <w:t xml:space="preserve">Cartographie des espaces agricoles de la commune : </w:t>
      </w:r>
    </w:p>
    <w:p w14:paraId="4D6C5288" w14:textId="77777777" w:rsidR="00C834BF" w:rsidRDefault="00C834BF" w:rsidP="00CF335D">
      <w:pPr>
        <w:jc w:val="center"/>
      </w:pPr>
      <w:r w:rsidRPr="00C834BF">
        <w:rPr>
          <w:noProof/>
        </w:rPr>
        <w:drawing>
          <wp:inline distT="0" distB="0" distL="0" distR="0" wp14:anchorId="4A86B28C" wp14:editId="2C7C7A5B">
            <wp:extent cx="4126865" cy="2922695"/>
            <wp:effectExtent l="0" t="0" r="698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189" t="5359"/>
                    <a:stretch/>
                  </pic:blipFill>
                  <pic:spPr bwMode="auto">
                    <a:xfrm>
                      <a:off x="0" y="0"/>
                      <a:ext cx="4140562" cy="2932395"/>
                    </a:xfrm>
                    <a:prstGeom prst="rect">
                      <a:avLst/>
                    </a:prstGeom>
                    <a:ln>
                      <a:noFill/>
                    </a:ln>
                    <a:extLst>
                      <a:ext uri="{53640926-AAD7-44D8-BBD7-CCE9431645EC}">
                        <a14:shadowObscured xmlns:a14="http://schemas.microsoft.com/office/drawing/2010/main"/>
                      </a:ext>
                    </a:extLst>
                  </pic:spPr>
                </pic:pic>
              </a:graphicData>
            </a:graphic>
          </wp:inline>
        </w:drawing>
      </w:r>
    </w:p>
    <w:p w14:paraId="4FA6F7AF" w14:textId="77777777" w:rsidR="00EB271C" w:rsidRDefault="00EB271C" w:rsidP="007014EE"/>
    <w:p w14:paraId="5378CAF7" w14:textId="77777777" w:rsidR="00EB271C" w:rsidRDefault="00EB271C" w:rsidP="007014EE"/>
    <w:p w14:paraId="5C0F5021" w14:textId="77777777" w:rsidR="00101305" w:rsidRDefault="00CF335D" w:rsidP="00101305">
      <w:pPr>
        <w:rPr>
          <w:lang w:eastAsia="en-US"/>
        </w:rPr>
      </w:pPr>
      <w:r w:rsidRPr="00CF335D">
        <w:rPr>
          <w:noProof/>
        </w:rPr>
        <w:drawing>
          <wp:inline distT="0" distB="0" distL="0" distR="0" wp14:anchorId="3E6EB233" wp14:editId="37B730C2">
            <wp:extent cx="5760720" cy="4032885"/>
            <wp:effectExtent l="0" t="0" r="0" b="571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4032885"/>
                    </a:xfrm>
                    <a:prstGeom prst="rect">
                      <a:avLst/>
                    </a:prstGeom>
                  </pic:spPr>
                </pic:pic>
              </a:graphicData>
            </a:graphic>
          </wp:inline>
        </w:drawing>
      </w:r>
    </w:p>
    <w:p w14:paraId="5281D921" w14:textId="77777777" w:rsidR="00CF335D" w:rsidRPr="00CF335D" w:rsidRDefault="00CF335D" w:rsidP="00101305">
      <w:pPr>
        <w:rPr>
          <w:lang w:eastAsia="en-US"/>
        </w:rPr>
      </w:pPr>
    </w:p>
    <w:p w14:paraId="5A73AA58" w14:textId="77777777" w:rsidR="00101305" w:rsidRDefault="00101305" w:rsidP="00101305">
      <w:pPr>
        <w:pStyle w:val="02-Titre2"/>
      </w:pPr>
      <w:bookmarkStart w:id="6" w:name="_Toc133996598"/>
      <w:r>
        <w:t>Evaluation des incidences sur le patrimoine bâti, historique et culturel</w:t>
      </w:r>
      <w:bookmarkEnd w:id="6"/>
    </w:p>
    <w:p w14:paraId="225AC644" w14:textId="409FEBC0" w:rsidR="00762D33" w:rsidRDefault="00D840C6" w:rsidP="007014EE">
      <w:bookmarkStart w:id="7" w:name="_Toc133996599"/>
      <w:r w:rsidRPr="00D840C6">
        <w:t>L</w:t>
      </w:r>
      <w:r w:rsidR="001E2B7E">
        <w:t xml:space="preserve">e site n’est pas situé à proximité d’éléments </w:t>
      </w:r>
      <w:r w:rsidR="00D83844">
        <w:t>faisant l’objet d’une protection patrimoniale</w:t>
      </w:r>
      <w:r w:rsidR="001E2B7E">
        <w:t xml:space="preserve">. Les bâtiments présents sur le site sont les suivants : </w:t>
      </w:r>
    </w:p>
    <w:p w14:paraId="0F74DF72" w14:textId="111F3361" w:rsidR="001E2B7E" w:rsidRDefault="002F66C7" w:rsidP="007014EE">
      <w:r w:rsidRPr="002F66C7">
        <w:rPr>
          <w:noProof/>
        </w:rPr>
        <w:drawing>
          <wp:inline distT="0" distB="0" distL="0" distR="0" wp14:anchorId="5E97711A" wp14:editId="6D25722D">
            <wp:extent cx="4578926" cy="3225624"/>
            <wp:effectExtent l="0" t="0" r="0" b="0"/>
            <wp:docPr id="6" name="Image 6" descr="C:\Users\dm\Seafile\E240491_UCE_LIBOURNAIS_LES_BILLAUX_MODIF\02_TRAVAIL\00_CARTO\EXPORT\construction sur secteur 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m\Seafile\E240491_UCE_LIBOURNAIS_LES_BILLAUX_MODIF\02_TRAVAIL\00_CARTO\EXPORT\construction sur secteur V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81429" cy="3227387"/>
                    </a:xfrm>
                    <a:prstGeom prst="rect">
                      <a:avLst/>
                    </a:prstGeom>
                    <a:noFill/>
                    <a:ln>
                      <a:noFill/>
                    </a:ln>
                  </pic:spPr>
                </pic:pic>
              </a:graphicData>
            </a:graphic>
          </wp:inline>
        </w:drawing>
      </w:r>
    </w:p>
    <w:p w14:paraId="11ACC97F" w14:textId="77777777" w:rsidR="001E2B7E" w:rsidRDefault="001E2B7E" w:rsidP="007014EE">
      <w:r>
        <w:lastRenderedPageBreak/>
        <w:t xml:space="preserve">On note tout de même la présence d’un ensemble de bâtiments agricoles à environ 200 m du site du projet : </w:t>
      </w:r>
    </w:p>
    <w:p w14:paraId="2CBABFA4" w14:textId="77777777" w:rsidR="001E2B7E" w:rsidRDefault="001E2B7E" w:rsidP="007014EE">
      <w:r w:rsidRPr="001E2B7E">
        <w:rPr>
          <w:noProof/>
        </w:rPr>
        <w:drawing>
          <wp:inline distT="0" distB="0" distL="0" distR="0" wp14:anchorId="23278C26" wp14:editId="3F384EC5">
            <wp:extent cx="5760720" cy="2321560"/>
            <wp:effectExtent l="0" t="0" r="0" b="254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321560"/>
                    </a:xfrm>
                    <a:prstGeom prst="rect">
                      <a:avLst/>
                    </a:prstGeom>
                  </pic:spPr>
                </pic:pic>
              </a:graphicData>
            </a:graphic>
          </wp:inline>
        </w:drawing>
      </w:r>
    </w:p>
    <w:p w14:paraId="1356BA64" w14:textId="77777777" w:rsidR="004F1865" w:rsidRDefault="001E2B7E" w:rsidP="007014EE">
      <w:r>
        <w:t xml:space="preserve">Ce dernier est </w:t>
      </w:r>
      <w:r w:rsidR="009A5A2C">
        <w:t>fléché</w:t>
      </w:r>
      <w:r>
        <w:t xml:space="preserve"> comme pouvant changer de destination au titre de l’article L 123-1-5 II-6° du code de l’urbanisme. </w:t>
      </w:r>
      <w:r w:rsidR="009A5A2C">
        <w:t>Les bâtiments ne sont pas visibles depuis le site du projet.</w:t>
      </w:r>
    </w:p>
    <w:p w14:paraId="01395092" w14:textId="77777777" w:rsidR="00D840C6" w:rsidRPr="00212BA1" w:rsidRDefault="00D840C6" w:rsidP="007014EE">
      <w:pPr>
        <w:rPr>
          <w:b/>
          <w:color w:val="0070C0"/>
        </w:rPr>
      </w:pPr>
    </w:p>
    <w:p w14:paraId="0ED49409" w14:textId="77777777" w:rsidR="00101305" w:rsidRDefault="00101305" w:rsidP="00101305">
      <w:pPr>
        <w:pStyle w:val="02-Titre2"/>
      </w:pPr>
      <w:r>
        <w:t>Evaluation des incidences sur les risques</w:t>
      </w:r>
      <w:bookmarkEnd w:id="7"/>
    </w:p>
    <w:p w14:paraId="0C3FCA15" w14:textId="77777777" w:rsidR="006B46CA" w:rsidRDefault="006B46CA" w:rsidP="006B46CA">
      <w:pPr>
        <w:autoSpaceDE w:val="0"/>
        <w:autoSpaceDN w:val="0"/>
        <w:adjustRightInd w:val="0"/>
        <w:spacing w:before="0"/>
      </w:pPr>
    </w:p>
    <w:p w14:paraId="06383813" w14:textId="77777777" w:rsidR="006B46CA" w:rsidRDefault="00755686" w:rsidP="006B46CA">
      <w:pPr>
        <w:autoSpaceDE w:val="0"/>
        <w:autoSpaceDN w:val="0"/>
        <w:adjustRightInd w:val="0"/>
        <w:spacing w:before="0"/>
      </w:pPr>
      <w:r w:rsidRPr="00755686">
        <w:rPr>
          <w:noProof/>
        </w:rPr>
        <w:drawing>
          <wp:anchor distT="0" distB="0" distL="114300" distR="114300" simplePos="0" relativeHeight="251726848" behindDoc="1" locked="0" layoutInCell="1" allowOverlap="1" wp14:anchorId="6E32AFEF" wp14:editId="299451E5">
            <wp:simplePos x="0" y="0"/>
            <wp:positionH relativeFrom="column">
              <wp:posOffset>2618105</wp:posOffset>
            </wp:positionH>
            <wp:positionV relativeFrom="paragraph">
              <wp:posOffset>361950</wp:posOffset>
            </wp:positionV>
            <wp:extent cx="3463289" cy="1728883"/>
            <wp:effectExtent l="0" t="0" r="4445" b="5080"/>
            <wp:wrapTight wrapText="bothSides">
              <wp:wrapPolygon edited="0">
                <wp:start x="0" y="0"/>
                <wp:lineTo x="0" y="21425"/>
                <wp:lineTo x="21509" y="21425"/>
                <wp:lineTo x="21509" y="0"/>
                <wp:lineTo x="0" y="0"/>
              </wp:wrapPolygon>
            </wp:wrapTight>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463289" cy="1728883"/>
                    </a:xfrm>
                    <a:prstGeom prst="rect">
                      <a:avLst/>
                    </a:prstGeom>
                  </pic:spPr>
                </pic:pic>
              </a:graphicData>
            </a:graphic>
            <wp14:sizeRelH relativeFrom="margin">
              <wp14:pctWidth>0</wp14:pctWidth>
            </wp14:sizeRelH>
            <wp14:sizeRelV relativeFrom="margin">
              <wp14:pctHeight>0</wp14:pctHeight>
            </wp14:sizeRelV>
          </wp:anchor>
        </w:drawing>
      </w:r>
      <w:r w:rsidRPr="006C5599">
        <w:rPr>
          <w:rFonts w:ascii="Arial" w:hAnsi="Arial" w:cs="Arial"/>
          <w:noProof/>
        </w:rPr>
        <w:drawing>
          <wp:anchor distT="0" distB="0" distL="114300" distR="114300" simplePos="0" relativeHeight="251725824" behindDoc="1" locked="0" layoutInCell="1" allowOverlap="1" wp14:anchorId="3A169196" wp14:editId="0EDC07B4">
            <wp:simplePos x="0" y="0"/>
            <wp:positionH relativeFrom="column">
              <wp:posOffset>1905</wp:posOffset>
            </wp:positionH>
            <wp:positionV relativeFrom="paragraph">
              <wp:posOffset>361950</wp:posOffset>
            </wp:positionV>
            <wp:extent cx="2485390" cy="1757680"/>
            <wp:effectExtent l="0" t="0" r="0" b="0"/>
            <wp:wrapTight wrapText="bothSides">
              <wp:wrapPolygon edited="0">
                <wp:start x="0" y="0"/>
                <wp:lineTo x="0" y="21303"/>
                <wp:lineTo x="21357" y="21303"/>
                <wp:lineTo x="21357" y="0"/>
                <wp:lineTo x="0" y="0"/>
              </wp:wrapPolygon>
            </wp:wrapTight>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85390" cy="1757680"/>
                    </a:xfrm>
                    <a:prstGeom prst="rect">
                      <a:avLst/>
                    </a:prstGeom>
                  </pic:spPr>
                </pic:pic>
              </a:graphicData>
            </a:graphic>
          </wp:anchor>
        </w:drawing>
      </w:r>
      <w:r>
        <w:t xml:space="preserve">La commune est concernée par le PPRI de la vallée de l’Isle. Ce document a été approuvé par arrêté préfectoral du 16 juin 2003. Le site du projet est situé à plus de 200 m de la zone rouge du PPRI. </w:t>
      </w:r>
    </w:p>
    <w:p w14:paraId="35CBE1B8" w14:textId="77777777" w:rsidR="00755686" w:rsidRPr="006B46CA" w:rsidRDefault="00755686" w:rsidP="006B46CA">
      <w:pPr>
        <w:autoSpaceDE w:val="0"/>
        <w:autoSpaceDN w:val="0"/>
        <w:adjustRightInd w:val="0"/>
        <w:spacing w:before="0"/>
      </w:pPr>
      <w:r w:rsidRPr="00755686">
        <w:rPr>
          <w:noProof/>
        </w:rPr>
        <w:lastRenderedPageBreak/>
        <w:drawing>
          <wp:inline distT="0" distB="0" distL="0" distR="0" wp14:anchorId="2A20408F" wp14:editId="32598252">
            <wp:extent cx="5099943" cy="4224655"/>
            <wp:effectExtent l="0" t="0" r="5715" b="444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07119" cy="4230600"/>
                    </a:xfrm>
                    <a:prstGeom prst="rect">
                      <a:avLst/>
                    </a:prstGeom>
                  </pic:spPr>
                </pic:pic>
              </a:graphicData>
            </a:graphic>
          </wp:inline>
        </w:drawing>
      </w:r>
    </w:p>
    <w:p w14:paraId="699F2380" w14:textId="77777777" w:rsidR="0030767C" w:rsidRPr="00F83ECE" w:rsidRDefault="00F83ECE" w:rsidP="006B46CA">
      <w:pPr>
        <w:autoSpaceDE w:val="0"/>
        <w:autoSpaceDN w:val="0"/>
        <w:adjustRightInd w:val="0"/>
        <w:spacing w:before="0"/>
      </w:pPr>
      <w:r>
        <w:t>Les Billaux est soumise au risque moyen de gonflement des argiles sur la</w:t>
      </w:r>
      <w:r w:rsidR="0021488B">
        <w:t xml:space="preserve"> totalité de son territoire et est exposée à un risque sismique faible (source BRGM)</w:t>
      </w:r>
      <w:r>
        <w:t>.</w:t>
      </w:r>
    </w:p>
    <w:p w14:paraId="1921CAF5" w14:textId="77777777" w:rsidR="0030767C" w:rsidRDefault="0030767C" w:rsidP="007014EE">
      <w:pPr>
        <w:autoSpaceDE w:val="0"/>
        <w:autoSpaceDN w:val="0"/>
        <w:adjustRightInd w:val="0"/>
        <w:spacing w:before="0"/>
        <w:jc w:val="left"/>
        <w:rPr>
          <w:b/>
          <w:i/>
          <w:color w:val="0070C0"/>
        </w:rPr>
      </w:pPr>
    </w:p>
    <w:p w14:paraId="4073CA3B" w14:textId="77777777" w:rsidR="00101305" w:rsidRDefault="00101305" w:rsidP="00101305">
      <w:pPr>
        <w:pStyle w:val="02-Titre2"/>
      </w:pPr>
      <w:bookmarkStart w:id="8" w:name="_Toc133996600"/>
      <w:r>
        <w:t>Evaluation des incidences sur les sols et l’eau</w:t>
      </w:r>
      <w:bookmarkEnd w:id="8"/>
    </w:p>
    <w:p w14:paraId="3522203C" w14:textId="77777777" w:rsidR="00B03C1F" w:rsidRDefault="00B03C1F" w:rsidP="00B03C1F">
      <w:pPr>
        <w:autoSpaceDE w:val="0"/>
        <w:autoSpaceDN w:val="0"/>
        <w:adjustRightInd w:val="0"/>
        <w:spacing w:before="0"/>
      </w:pPr>
    </w:p>
    <w:p w14:paraId="793B7FBA" w14:textId="58ABB042" w:rsidR="00101305" w:rsidRDefault="00B03C1F" w:rsidP="00B03C1F">
      <w:pPr>
        <w:autoSpaceDE w:val="0"/>
        <w:autoSpaceDN w:val="0"/>
        <w:adjustRightInd w:val="0"/>
        <w:spacing w:before="0"/>
        <w:rPr>
          <w:rFonts w:asciiTheme="minorHAnsi" w:hAnsiTheme="minorHAnsi" w:cstheme="minorHAnsi"/>
          <w:sz w:val="22"/>
        </w:rPr>
      </w:pPr>
      <w:r w:rsidRPr="00416A20">
        <w:rPr>
          <w:rFonts w:asciiTheme="minorHAnsi" w:hAnsiTheme="minorHAnsi" w:cstheme="minorHAnsi"/>
          <w:sz w:val="22"/>
        </w:rPr>
        <w:t>Le</w:t>
      </w:r>
      <w:r w:rsidR="002E2B4F">
        <w:rPr>
          <w:rFonts w:asciiTheme="minorHAnsi" w:hAnsiTheme="minorHAnsi" w:cstheme="minorHAnsi"/>
          <w:sz w:val="22"/>
        </w:rPr>
        <w:t xml:space="preserve"> futur</w:t>
      </w:r>
      <w:r w:rsidRPr="00416A20">
        <w:rPr>
          <w:rFonts w:asciiTheme="minorHAnsi" w:hAnsiTheme="minorHAnsi" w:cstheme="minorHAnsi"/>
          <w:sz w:val="22"/>
        </w:rPr>
        <w:t xml:space="preserve"> projet, </w:t>
      </w:r>
      <w:r w:rsidR="00745230">
        <w:rPr>
          <w:rFonts w:asciiTheme="minorHAnsi" w:hAnsiTheme="minorHAnsi" w:cstheme="minorHAnsi"/>
          <w:sz w:val="22"/>
        </w:rPr>
        <w:t xml:space="preserve">de par sa nature et </w:t>
      </w:r>
      <w:r w:rsidRPr="00416A20">
        <w:rPr>
          <w:rFonts w:asciiTheme="minorHAnsi" w:hAnsiTheme="minorHAnsi" w:cstheme="minorHAnsi"/>
          <w:sz w:val="22"/>
        </w:rPr>
        <w:t>lors de sa phase de gestion, ne nécessitera pas une consommation d’eau et un besoin de rejet supplémentaire</w:t>
      </w:r>
      <w:r w:rsidR="00D83844">
        <w:rPr>
          <w:rFonts w:asciiTheme="minorHAnsi" w:hAnsiTheme="minorHAnsi" w:cstheme="minorHAnsi"/>
          <w:sz w:val="22"/>
        </w:rPr>
        <w:t xml:space="preserve"> par rapport à la zone UB telle qu’elle était dimensionnée</w:t>
      </w:r>
      <w:r w:rsidR="00FF1AB2">
        <w:rPr>
          <w:rFonts w:asciiTheme="minorHAnsi" w:hAnsiTheme="minorHAnsi" w:cstheme="minorHAnsi"/>
          <w:sz w:val="22"/>
        </w:rPr>
        <w:t>.</w:t>
      </w:r>
      <w:r w:rsidR="002E2B4F">
        <w:rPr>
          <w:rFonts w:asciiTheme="minorHAnsi" w:hAnsiTheme="minorHAnsi" w:cstheme="minorHAnsi"/>
          <w:sz w:val="22"/>
        </w:rPr>
        <w:t xml:space="preserve"> </w:t>
      </w:r>
    </w:p>
    <w:p w14:paraId="7A9FEBEB" w14:textId="77777777" w:rsidR="00E628C0" w:rsidRPr="00416A20" w:rsidRDefault="00E628C0" w:rsidP="00B03C1F">
      <w:pPr>
        <w:autoSpaceDE w:val="0"/>
        <w:autoSpaceDN w:val="0"/>
        <w:adjustRightInd w:val="0"/>
        <w:spacing w:before="0"/>
        <w:rPr>
          <w:rFonts w:asciiTheme="minorHAnsi" w:hAnsiTheme="minorHAnsi" w:cstheme="minorHAnsi"/>
          <w:sz w:val="22"/>
        </w:rPr>
      </w:pPr>
    </w:p>
    <w:p w14:paraId="642A7F32" w14:textId="77777777" w:rsidR="00416A20" w:rsidRPr="00FF1AB2" w:rsidRDefault="00FF1AB2" w:rsidP="00B03C1F">
      <w:pPr>
        <w:autoSpaceDE w:val="0"/>
        <w:autoSpaceDN w:val="0"/>
        <w:adjustRightInd w:val="0"/>
        <w:spacing w:before="0"/>
        <w:rPr>
          <w:rFonts w:asciiTheme="minorHAnsi" w:hAnsiTheme="minorHAnsi" w:cstheme="minorHAnsi"/>
          <w:b/>
          <w:sz w:val="22"/>
        </w:rPr>
      </w:pPr>
      <w:r w:rsidRPr="00FF1AB2">
        <w:rPr>
          <w:rFonts w:asciiTheme="minorHAnsi" w:hAnsiTheme="minorHAnsi" w:cstheme="minorHAnsi"/>
          <w:b/>
          <w:sz w:val="22"/>
        </w:rPr>
        <w:t xml:space="preserve">Réseaux assainissement et eau potable sur site : </w:t>
      </w:r>
    </w:p>
    <w:p w14:paraId="4D5E7F80" w14:textId="77777777" w:rsidR="00FF1AB2" w:rsidRDefault="00FF1AB2" w:rsidP="00B03C1F">
      <w:pPr>
        <w:autoSpaceDE w:val="0"/>
        <w:autoSpaceDN w:val="0"/>
        <w:adjustRightInd w:val="0"/>
        <w:spacing w:before="0"/>
        <w:rPr>
          <w:color w:val="0070C0"/>
        </w:rPr>
      </w:pPr>
      <w:r w:rsidRPr="00FF1AB2">
        <w:rPr>
          <w:noProof/>
          <w:color w:val="0070C0"/>
        </w:rPr>
        <w:drawing>
          <wp:inline distT="0" distB="0" distL="0" distR="0" wp14:anchorId="2EE94B7F" wp14:editId="47021A75">
            <wp:extent cx="2745740" cy="2567287"/>
            <wp:effectExtent l="0" t="0" r="0" b="508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50890" cy="2572102"/>
                    </a:xfrm>
                    <a:prstGeom prst="rect">
                      <a:avLst/>
                    </a:prstGeom>
                  </pic:spPr>
                </pic:pic>
              </a:graphicData>
            </a:graphic>
          </wp:inline>
        </w:drawing>
      </w:r>
      <w:r w:rsidRPr="00FF1AB2">
        <w:rPr>
          <w:noProof/>
          <w:color w:val="0070C0"/>
        </w:rPr>
        <w:drawing>
          <wp:inline distT="0" distB="0" distL="0" distR="0" wp14:anchorId="36BDD3BF" wp14:editId="2B7106AD">
            <wp:extent cx="2802255" cy="2631386"/>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13166" cy="2641631"/>
                    </a:xfrm>
                    <a:prstGeom prst="rect">
                      <a:avLst/>
                    </a:prstGeom>
                  </pic:spPr>
                </pic:pic>
              </a:graphicData>
            </a:graphic>
          </wp:inline>
        </w:drawing>
      </w:r>
    </w:p>
    <w:p w14:paraId="3D4E1F47" w14:textId="77777777" w:rsidR="00295B08" w:rsidRPr="00B03C1F" w:rsidRDefault="00295B08" w:rsidP="00B03C1F">
      <w:pPr>
        <w:autoSpaceDE w:val="0"/>
        <w:autoSpaceDN w:val="0"/>
        <w:adjustRightInd w:val="0"/>
        <w:spacing w:before="0"/>
        <w:rPr>
          <w:color w:val="0070C0"/>
        </w:rPr>
      </w:pPr>
    </w:p>
    <w:p w14:paraId="7912AF18" w14:textId="77777777" w:rsidR="00101305" w:rsidRDefault="00101305" w:rsidP="00101305">
      <w:pPr>
        <w:pStyle w:val="02-Titre2"/>
      </w:pPr>
      <w:bookmarkStart w:id="9" w:name="_Toc133996601"/>
      <w:r>
        <w:t>Evaluation des incidences sur le climat et la qualité de l’air</w:t>
      </w:r>
      <w:bookmarkEnd w:id="9"/>
    </w:p>
    <w:p w14:paraId="033ECCD4" w14:textId="77777777" w:rsidR="00E86099" w:rsidRDefault="00295B08" w:rsidP="00D83844">
      <w:pPr>
        <w:spacing w:before="0" w:after="160" w:line="259" w:lineRule="auto"/>
        <w:rPr>
          <w:rStyle w:val="Textedelespacerserv"/>
          <w:rFonts w:asciiTheme="minorHAnsi" w:hAnsiTheme="minorHAnsi" w:cstheme="minorHAnsi"/>
          <w:bCs/>
          <w:color w:val="auto"/>
          <w:sz w:val="22"/>
        </w:rPr>
      </w:pPr>
      <w:r>
        <w:rPr>
          <w:rStyle w:val="Textedelespacerserv"/>
          <w:rFonts w:asciiTheme="minorHAnsi" w:hAnsiTheme="minorHAnsi" w:cstheme="minorHAnsi"/>
          <w:bCs/>
          <w:color w:val="auto"/>
          <w:sz w:val="22"/>
        </w:rPr>
        <w:lastRenderedPageBreak/>
        <w:t xml:space="preserve">Le changement de zonage n’affectant pas un espace naturel ou agricole, le site est d’ores et </w:t>
      </w:r>
      <w:r w:rsidR="00D83844">
        <w:rPr>
          <w:rStyle w:val="Textedelespacerserv"/>
          <w:rFonts w:asciiTheme="minorHAnsi" w:hAnsiTheme="minorHAnsi" w:cstheme="minorHAnsi"/>
          <w:bCs/>
          <w:color w:val="auto"/>
          <w:sz w:val="22"/>
        </w:rPr>
        <w:t>déjà susceptible d’être aménagé</w:t>
      </w:r>
      <w:r>
        <w:rPr>
          <w:rStyle w:val="Textedelespacerserv"/>
          <w:rFonts w:asciiTheme="minorHAnsi" w:hAnsiTheme="minorHAnsi" w:cstheme="minorHAnsi"/>
          <w:bCs/>
          <w:color w:val="auto"/>
          <w:sz w:val="22"/>
        </w:rPr>
        <w:t xml:space="preserve"> et ainsi de générer un impact négatif sur le climat et la qualité de l’air. La conséquence de la modification n’est donc pas significative</w:t>
      </w:r>
      <w:r w:rsidR="00D83844">
        <w:rPr>
          <w:rStyle w:val="Textedelespacerserv"/>
          <w:rFonts w:asciiTheme="minorHAnsi" w:hAnsiTheme="minorHAnsi" w:cstheme="minorHAnsi"/>
          <w:bCs/>
          <w:color w:val="auto"/>
          <w:sz w:val="22"/>
        </w:rPr>
        <w:t>, d’autant plus que la réglementation limite fortement les rejets liés aux activités économiques</w:t>
      </w:r>
      <w:r>
        <w:rPr>
          <w:rStyle w:val="Textedelespacerserv"/>
          <w:rFonts w:asciiTheme="minorHAnsi" w:hAnsiTheme="minorHAnsi" w:cstheme="minorHAnsi"/>
          <w:bCs/>
          <w:color w:val="auto"/>
          <w:sz w:val="22"/>
        </w:rPr>
        <w:t xml:space="preserve">. </w:t>
      </w:r>
    </w:p>
    <w:p w14:paraId="5CD436C9" w14:textId="6E1DAB3A" w:rsidR="00295B08" w:rsidRDefault="00295B08" w:rsidP="00D83844">
      <w:pPr>
        <w:spacing w:before="0" w:after="160" w:line="259" w:lineRule="auto"/>
        <w:rPr>
          <w:rStyle w:val="Textedelespacerserv"/>
          <w:rFonts w:asciiTheme="minorHAnsi" w:hAnsiTheme="minorHAnsi" w:cstheme="minorHAnsi"/>
          <w:bCs/>
          <w:color w:val="auto"/>
          <w:sz w:val="22"/>
        </w:rPr>
      </w:pPr>
      <w:r>
        <w:rPr>
          <w:rStyle w:val="Textedelespacerserv"/>
          <w:rFonts w:asciiTheme="minorHAnsi" w:hAnsiTheme="minorHAnsi" w:cstheme="minorHAnsi"/>
          <w:bCs/>
          <w:color w:val="auto"/>
          <w:sz w:val="22"/>
        </w:rPr>
        <w:t xml:space="preserve">Le règlement de la zone UY précise : </w:t>
      </w:r>
    </w:p>
    <w:p w14:paraId="7B707030" w14:textId="6CB0B326" w:rsidR="00E86099" w:rsidRDefault="00295B08" w:rsidP="00D83844">
      <w:pPr>
        <w:pStyle w:val="Paragraphedeliste"/>
        <w:numPr>
          <w:ilvl w:val="0"/>
          <w:numId w:val="21"/>
        </w:numPr>
        <w:spacing w:before="0" w:after="160" w:line="259" w:lineRule="auto"/>
        <w:rPr>
          <w:rStyle w:val="Textedelespacerserv"/>
          <w:rFonts w:asciiTheme="minorHAnsi" w:hAnsiTheme="minorHAnsi" w:cstheme="minorHAnsi"/>
          <w:bCs/>
          <w:color w:val="auto"/>
          <w:sz w:val="22"/>
          <w:szCs w:val="22"/>
        </w:rPr>
      </w:pPr>
      <w:r w:rsidRPr="00E86099">
        <w:rPr>
          <w:rStyle w:val="Textedelespacerserv"/>
          <w:rFonts w:asciiTheme="minorHAnsi" w:hAnsiTheme="minorHAnsi" w:cstheme="minorHAnsi"/>
          <w:bCs/>
          <w:color w:val="auto"/>
          <w:sz w:val="22"/>
        </w:rPr>
        <w:t>« </w:t>
      </w:r>
      <w:r w:rsidRPr="00E86099">
        <w:rPr>
          <w:rStyle w:val="Textedelespacerserv"/>
          <w:rFonts w:asciiTheme="minorHAnsi" w:hAnsiTheme="minorHAnsi" w:cstheme="minorHAnsi"/>
          <w:bCs/>
          <w:i/>
          <w:color w:val="auto"/>
          <w:sz w:val="22"/>
        </w:rPr>
        <w:t>Il est r</w:t>
      </w:r>
      <w:r w:rsidRPr="00E86099">
        <w:rPr>
          <w:rStyle w:val="Textedelespacerserv"/>
          <w:rFonts w:asciiTheme="minorHAnsi" w:hAnsiTheme="minorHAnsi" w:cstheme="minorHAnsi"/>
          <w:bCs/>
          <w:i/>
          <w:color w:val="auto"/>
          <w:sz w:val="22"/>
          <w:szCs w:val="22"/>
        </w:rPr>
        <w:t xml:space="preserve">ecommandé l’utilisation des </w:t>
      </w:r>
      <w:r w:rsidRPr="00396D9D">
        <w:rPr>
          <w:rStyle w:val="Textedelespacerserv"/>
          <w:rFonts w:asciiTheme="minorHAnsi" w:hAnsiTheme="minorHAnsi" w:cstheme="minorHAnsi"/>
          <w:b/>
          <w:bCs/>
          <w:i/>
          <w:color w:val="auto"/>
          <w:sz w:val="22"/>
          <w:szCs w:val="22"/>
        </w:rPr>
        <w:t xml:space="preserve">énergies renouvelables </w:t>
      </w:r>
      <w:r w:rsidRPr="00E86099">
        <w:rPr>
          <w:rStyle w:val="Textedelespacerserv"/>
          <w:rFonts w:asciiTheme="minorHAnsi" w:hAnsiTheme="minorHAnsi" w:cstheme="minorHAnsi"/>
          <w:bCs/>
          <w:i/>
          <w:color w:val="auto"/>
          <w:sz w:val="22"/>
          <w:szCs w:val="22"/>
        </w:rPr>
        <w:t>pour l’approvisionnement énergétique des constructions neuves et des constructions existantes en cas de réhabilitation, en fonction des caractéristiques de ces constructions, et sous réserve de la protection des sites et des paysages.</w:t>
      </w:r>
      <w:r w:rsidRPr="00E86099">
        <w:rPr>
          <w:rStyle w:val="Textedelespacerserv"/>
          <w:rFonts w:asciiTheme="minorHAnsi" w:hAnsiTheme="minorHAnsi" w:cstheme="minorHAnsi"/>
          <w:bCs/>
          <w:color w:val="auto"/>
          <w:sz w:val="22"/>
          <w:szCs w:val="22"/>
        </w:rPr>
        <w:t> »</w:t>
      </w:r>
    </w:p>
    <w:p w14:paraId="1A69B575" w14:textId="3F96CA48" w:rsidR="00E86099" w:rsidRPr="00396D9D" w:rsidRDefault="00396D9D" w:rsidP="00396D9D">
      <w:pPr>
        <w:pStyle w:val="Paragraphedeliste"/>
        <w:numPr>
          <w:ilvl w:val="0"/>
          <w:numId w:val="21"/>
        </w:numPr>
        <w:spacing w:before="0" w:after="160" w:line="259" w:lineRule="auto"/>
        <w:rPr>
          <w:rFonts w:asciiTheme="minorHAnsi" w:hAnsiTheme="minorHAnsi" w:cstheme="minorHAnsi"/>
          <w:bCs/>
          <w:i/>
          <w:sz w:val="22"/>
          <w:szCs w:val="22"/>
        </w:rPr>
      </w:pPr>
      <w:r w:rsidRPr="00396D9D">
        <w:rPr>
          <w:rStyle w:val="Textedelespacerserv"/>
          <w:rFonts w:asciiTheme="minorHAnsi" w:hAnsiTheme="minorHAnsi" w:cstheme="minorHAnsi"/>
          <w:bCs/>
          <w:i/>
          <w:color w:val="auto"/>
          <w:sz w:val="22"/>
          <w:szCs w:val="22"/>
        </w:rPr>
        <w:t>« Les zones de recul en bordure des voies publiques ou privées sont obligatoirement</w:t>
      </w:r>
      <w:r w:rsidRPr="00396D9D">
        <w:rPr>
          <w:rStyle w:val="Textedelespacerserv"/>
          <w:rFonts w:asciiTheme="minorHAnsi" w:hAnsiTheme="minorHAnsi" w:cstheme="minorHAnsi"/>
          <w:b/>
          <w:bCs/>
          <w:i/>
          <w:color w:val="auto"/>
          <w:sz w:val="22"/>
          <w:szCs w:val="22"/>
        </w:rPr>
        <w:t xml:space="preserve"> traitées de manière qualitatives par la plantation d’un espace tampon végétalisé </w:t>
      </w:r>
      <w:r w:rsidRPr="00396D9D">
        <w:rPr>
          <w:rStyle w:val="Textedelespacerserv"/>
          <w:rFonts w:asciiTheme="minorHAnsi" w:hAnsiTheme="minorHAnsi" w:cstheme="minorHAnsi"/>
          <w:bCs/>
          <w:i/>
          <w:color w:val="auto"/>
          <w:sz w:val="22"/>
          <w:szCs w:val="22"/>
        </w:rPr>
        <w:t xml:space="preserve">(haie, pelouses, arbustes, …) et </w:t>
      </w:r>
      <w:r w:rsidRPr="00396D9D">
        <w:rPr>
          <w:rStyle w:val="Textedelespacerserv"/>
          <w:rFonts w:asciiTheme="minorHAnsi" w:hAnsiTheme="minorHAnsi" w:cstheme="minorHAnsi"/>
          <w:b/>
          <w:bCs/>
          <w:i/>
          <w:color w:val="auto"/>
          <w:sz w:val="22"/>
          <w:szCs w:val="22"/>
        </w:rPr>
        <w:t>plantées d’arbres de hautes tiges.</w:t>
      </w:r>
      <w:r w:rsidRPr="00396D9D">
        <w:rPr>
          <w:rStyle w:val="Textedelespacerserv"/>
          <w:rFonts w:asciiTheme="minorHAnsi" w:hAnsiTheme="minorHAnsi" w:cstheme="minorHAnsi"/>
          <w:bCs/>
          <w:i/>
          <w:color w:val="auto"/>
          <w:sz w:val="22"/>
          <w:szCs w:val="22"/>
        </w:rPr>
        <w:t xml:space="preserve"> Les parties de terrain libre de toute occupation doivent être aménagées en espaces verts plantés d’arbres de haute tige. »</w:t>
      </w:r>
    </w:p>
    <w:p w14:paraId="02850E64" w14:textId="02091560" w:rsidR="00E86099" w:rsidRPr="00E86099" w:rsidRDefault="000C328F" w:rsidP="00E86099">
      <w:pPr>
        <w:pStyle w:val="Paragraphedeliste"/>
        <w:numPr>
          <w:ilvl w:val="0"/>
          <w:numId w:val="21"/>
        </w:numPr>
        <w:spacing w:before="0" w:after="160" w:line="259" w:lineRule="auto"/>
        <w:rPr>
          <w:rFonts w:asciiTheme="minorHAnsi" w:hAnsiTheme="minorHAnsi" w:cstheme="minorHAnsi"/>
          <w:bCs/>
          <w:sz w:val="22"/>
          <w:szCs w:val="22"/>
        </w:rPr>
      </w:pPr>
      <w:r w:rsidRPr="00E86099">
        <w:rPr>
          <w:rFonts w:asciiTheme="minorHAnsi" w:hAnsiTheme="minorHAnsi" w:cstheme="minorHAnsi"/>
          <w:sz w:val="22"/>
          <w:szCs w:val="22"/>
        </w:rPr>
        <w:t>« </w:t>
      </w:r>
      <w:r w:rsidR="00396D9D">
        <w:rPr>
          <w:rFonts w:asciiTheme="minorHAnsi" w:hAnsiTheme="minorHAnsi" w:cstheme="minorHAnsi"/>
          <w:i/>
          <w:sz w:val="22"/>
          <w:szCs w:val="22"/>
        </w:rPr>
        <w:t>Dans l</w:t>
      </w:r>
      <w:r w:rsidRPr="00E86099">
        <w:rPr>
          <w:rFonts w:asciiTheme="minorHAnsi" w:hAnsiTheme="minorHAnsi" w:cstheme="minorHAnsi"/>
          <w:i/>
          <w:sz w:val="22"/>
          <w:szCs w:val="22"/>
        </w:rPr>
        <w:t xml:space="preserve">a mesure du possible, </w:t>
      </w:r>
      <w:r w:rsidRPr="00396D9D">
        <w:rPr>
          <w:rFonts w:asciiTheme="minorHAnsi" w:hAnsiTheme="minorHAnsi" w:cstheme="minorHAnsi"/>
          <w:b/>
          <w:i/>
          <w:sz w:val="22"/>
          <w:szCs w:val="22"/>
        </w:rPr>
        <w:t xml:space="preserve">la conservation de la végétation </w:t>
      </w:r>
      <w:r w:rsidRPr="00E86099">
        <w:rPr>
          <w:rFonts w:asciiTheme="minorHAnsi" w:hAnsiTheme="minorHAnsi" w:cstheme="minorHAnsi"/>
          <w:i/>
          <w:sz w:val="22"/>
          <w:szCs w:val="22"/>
        </w:rPr>
        <w:t>existante est toujours souhaitable. Les aires de stationnement feront l’objet d’un aménagement paysager. Elles devront être plantées à raison au minimum d’un arbre de haute tige pour 4 emplacements.</w:t>
      </w:r>
      <w:r w:rsidRPr="00E86099">
        <w:rPr>
          <w:rFonts w:asciiTheme="minorHAnsi" w:hAnsiTheme="minorHAnsi" w:cstheme="minorHAnsi"/>
          <w:sz w:val="22"/>
          <w:szCs w:val="22"/>
        </w:rPr>
        <w:t> »</w:t>
      </w:r>
    </w:p>
    <w:p w14:paraId="3897E8B1" w14:textId="5114D220" w:rsidR="00295B08" w:rsidRPr="00E86099" w:rsidRDefault="00E86099" w:rsidP="00E86099">
      <w:pPr>
        <w:pStyle w:val="Paragraphedeliste"/>
        <w:numPr>
          <w:ilvl w:val="0"/>
          <w:numId w:val="22"/>
        </w:numPr>
        <w:spacing w:before="0" w:after="160" w:line="259" w:lineRule="auto"/>
        <w:rPr>
          <w:rFonts w:asciiTheme="minorHAnsi" w:hAnsiTheme="minorHAnsi" w:cstheme="minorHAnsi"/>
          <w:bCs/>
          <w:sz w:val="22"/>
          <w:szCs w:val="22"/>
        </w:rPr>
      </w:pPr>
      <w:r w:rsidRPr="00E86099">
        <w:rPr>
          <w:rFonts w:asciiTheme="minorHAnsi" w:hAnsiTheme="minorHAnsi" w:cstheme="minorHAnsi"/>
          <w:sz w:val="22"/>
          <w:szCs w:val="22"/>
        </w:rPr>
        <w:t>Ce</w:t>
      </w:r>
      <w:r>
        <w:rPr>
          <w:rFonts w:asciiTheme="minorHAnsi" w:hAnsiTheme="minorHAnsi" w:cstheme="minorHAnsi"/>
          <w:sz w:val="22"/>
          <w:szCs w:val="22"/>
        </w:rPr>
        <w:t>tte</w:t>
      </w:r>
      <w:r w:rsidRPr="00E86099">
        <w:rPr>
          <w:rFonts w:asciiTheme="minorHAnsi" w:hAnsiTheme="minorHAnsi" w:cstheme="minorHAnsi"/>
          <w:sz w:val="22"/>
          <w:szCs w:val="22"/>
        </w:rPr>
        <w:t xml:space="preserve"> </w:t>
      </w:r>
      <w:r w:rsidR="00295B08" w:rsidRPr="00E86099">
        <w:rPr>
          <w:rFonts w:asciiTheme="minorHAnsi" w:hAnsiTheme="minorHAnsi" w:cstheme="minorHAnsi"/>
          <w:sz w:val="22"/>
          <w:szCs w:val="22"/>
        </w:rPr>
        <w:t xml:space="preserve">mesure </w:t>
      </w:r>
      <w:r>
        <w:rPr>
          <w:rFonts w:asciiTheme="minorHAnsi" w:hAnsiTheme="minorHAnsi" w:cstheme="minorHAnsi"/>
          <w:sz w:val="22"/>
          <w:szCs w:val="22"/>
        </w:rPr>
        <w:t>incitative vise</w:t>
      </w:r>
      <w:r w:rsidR="004E4D2B" w:rsidRPr="00E86099">
        <w:rPr>
          <w:rFonts w:asciiTheme="minorHAnsi" w:hAnsiTheme="minorHAnsi" w:cstheme="minorHAnsi"/>
          <w:sz w:val="22"/>
          <w:szCs w:val="22"/>
        </w:rPr>
        <w:t xml:space="preserve"> à la préservation des espaces végétaux présents sur le site</w:t>
      </w:r>
      <w:r>
        <w:rPr>
          <w:rFonts w:asciiTheme="minorHAnsi" w:hAnsiTheme="minorHAnsi" w:cstheme="minorHAnsi"/>
          <w:sz w:val="22"/>
          <w:szCs w:val="22"/>
        </w:rPr>
        <w:t>, lesquels contribuent à l’assainissement de l’air</w:t>
      </w:r>
      <w:r w:rsidR="004E4D2B" w:rsidRPr="00E86099">
        <w:rPr>
          <w:rFonts w:asciiTheme="minorHAnsi" w:hAnsiTheme="minorHAnsi" w:cstheme="minorHAnsi"/>
          <w:sz w:val="22"/>
          <w:szCs w:val="22"/>
        </w:rPr>
        <w:t>.</w:t>
      </w:r>
    </w:p>
    <w:p w14:paraId="36C68D9E" w14:textId="77777777" w:rsidR="000C328F" w:rsidRPr="00295B08" w:rsidRDefault="000C328F" w:rsidP="000C328F">
      <w:pPr>
        <w:suppressAutoHyphens/>
        <w:spacing w:before="0"/>
        <w:rPr>
          <w:rStyle w:val="Textedelespacerserv"/>
          <w:color w:val="auto"/>
        </w:rPr>
      </w:pPr>
    </w:p>
    <w:p w14:paraId="7A33AC87" w14:textId="77777777" w:rsidR="00101305" w:rsidRDefault="00101305" w:rsidP="00101305">
      <w:pPr>
        <w:pStyle w:val="02-Titre2"/>
      </w:pPr>
      <w:bookmarkStart w:id="10" w:name="_Toc133996602"/>
      <w:r>
        <w:t>La susceptibilité d’affecter significativement un site Natura 2000</w:t>
      </w:r>
      <w:bookmarkEnd w:id="10"/>
    </w:p>
    <w:p w14:paraId="2B6EB7D9" w14:textId="77777777" w:rsidR="00B67229" w:rsidRPr="0026237E" w:rsidRDefault="00B67229" w:rsidP="0026237E">
      <w:pPr>
        <w:pStyle w:val="Default"/>
        <w:jc w:val="both"/>
        <w:rPr>
          <w:rFonts w:asciiTheme="minorHAnsi" w:hAnsiTheme="minorHAnsi" w:cstheme="minorHAnsi"/>
          <w:sz w:val="22"/>
          <w:szCs w:val="22"/>
        </w:rPr>
      </w:pPr>
      <w:bookmarkStart w:id="11" w:name="_Toc133996603"/>
      <w:r w:rsidRPr="0026237E">
        <w:rPr>
          <w:rFonts w:asciiTheme="minorHAnsi" w:hAnsiTheme="minorHAnsi" w:cstheme="minorHAnsi"/>
          <w:b/>
          <w:bCs/>
          <w:sz w:val="22"/>
          <w:szCs w:val="22"/>
        </w:rPr>
        <w:t xml:space="preserve">La zone d’étude ne se situe pas dans le périmètre d’un site Natura 2000. </w:t>
      </w:r>
    </w:p>
    <w:p w14:paraId="518FBC99" w14:textId="77777777" w:rsidR="00B67229" w:rsidRPr="0026237E" w:rsidRDefault="00B67229" w:rsidP="0026237E">
      <w:pPr>
        <w:pStyle w:val="Default"/>
        <w:jc w:val="both"/>
        <w:rPr>
          <w:rFonts w:asciiTheme="minorHAnsi" w:hAnsiTheme="minorHAnsi" w:cstheme="minorHAnsi"/>
          <w:sz w:val="22"/>
          <w:szCs w:val="22"/>
        </w:rPr>
      </w:pPr>
    </w:p>
    <w:p w14:paraId="12431F56" w14:textId="77777777" w:rsidR="00B67229" w:rsidRPr="0026237E" w:rsidRDefault="00B67229" w:rsidP="0026237E">
      <w:pPr>
        <w:pStyle w:val="Default"/>
        <w:jc w:val="both"/>
        <w:rPr>
          <w:rFonts w:asciiTheme="minorHAnsi" w:hAnsiTheme="minorHAnsi" w:cstheme="minorHAnsi"/>
          <w:sz w:val="22"/>
          <w:szCs w:val="22"/>
        </w:rPr>
      </w:pPr>
      <w:r w:rsidRPr="0026237E">
        <w:rPr>
          <w:rFonts w:asciiTheme="minorHAnsi" w:hAnsiTheme="minorHAnsi" w:cstheme="minorHAnsi"/>
          <w:sz w:val="22"/>
          <w:szCs w:val="22"/>
        </w:rPr>
        <w:t xml:space="preserve">En revanche, </w:t>
      </w:r>
      <w:r w:rsidRPr="0026237E">
        <w:rPr>
          <w:rFonts w:asciiTheme="minorHAnsi" w:hAnsiTheme="minorHAnsi" w:cstheme="minorHAnsi"/>
          <w:b/>
          <w:bCs/>
          <w:sz w:val="22"/>
          <w:szCs w:val="22"/>
        </w:rPr>
        <w:t>une zone Natura 2000 est localisée à proximité de la zone d’étude, dans un rayon de 5 km</w:t>
      </w:r>
      <w:r w:rsidR="0026237E">
        <w:rPr>
          <w:rFonts w:asciiTheme="minorHAnsi" w:hAnsiTheme="minorHAnsi" w:cstheme="minorHAnsi"/>
          <w:b/>
          <w:bCs/>
          <w:sz w:val="22"/>
          <w:szCs w:val="22"/>
        </w:rPr>
        <w:t> </w:t>
      </w:r>
      <w:r w:rsidR="0026237E">
        <w:rPr>
          <w:rFonts w:asciiTheme="minorHAnsi" w:hAnsiTheme="minorHAnsi" w:cstheme="minorHAnsi"/>
          <w:sz w:val="22"/>
          <w:szCs w:val="22"/>
        </w:rPr>
        <w:t>:</w:t>
      </w:r>
      <w:r w:rsidRPr="0026237E">
        <w:rPr>
          <w:rFonts w:asciiTheme="minorHAnsi" w:hAnsiTheme="minorHAnsi" w:cstheme="minorHAnsi"/>
          <w:sz w:val="22"/>
          <w:szCs w:val="22"/>
        </w:rPr>
        <w:t xml:space="preserve"> </w:t>
      </w:r>
    </w:p>
    <w:p w14:paraId="3415F358" w14:textId="77777777" w:rsidR="00B67229" w:rsidRPr="0026237E" w:rsidRDefault="00C7092F" w:rsidP="0026237E">
      <w:pPr>
        <w:pStyle w:val="Default"/>
        <w:jc w:val="both"/>
        <w:rPr>
          <w:rFonts w:asciiTheme="minorHAnsi" w:hAnsiTheme="minorHAnsi" w:cstheme="minorHAnsi"/>
          <w:sz w:val="22"/>
          <w:szCs w:val="22"/>
        </w:rPr>
      </w:pPr>
      <w:r>
        <w:rPr>
          <w:rFonts w:asciiTheme="minorHAnsi" w:hAnsiTheme="minorHAnsi" w:cstheme="minorHAnsi"/>
          <w:sz w:val="22"/>
          <w:szCs w:val="22"/>
        </w:rPr>
        <w:t xml:space="preserve">-  le site </w:t>
      </w:r>
      <w:r w:rsidRPr="00C7092F">
        <w:rPr>
          <w:rFonts w:asciiTheme="minorHAnsi" w:hAnsiTheme="minorHAnsi" w:cstheme="minorHAnsi"/>
          <w:sz w:val="22"/>
          <w:szCs w:val="22"/>
        </w:rPr>
        <w:t xml:space="preserve">FR7200661 « </w:t>
      </w:r>
      <w:r w:rsidRPr="00B67D7B">
        <w:rPr>
          <w:rFonts w:asciiTheme="minorHAnsi" w:hAnsiTheme="minorHAnsi" w:cstheme="minorHAnsi"/>
          <w:i/>
          <w:sz w:val="22"/>
          <w:szCs w:val="22"/>
        </w:rPr>
        <w:t xml:space="preserve">Vallée de l'Isle de Périgueux à sa confluence avec la Dordogne </w:t>
      </w:r>
      <w:r w:rsidRPr="00C7092F">
        <w:rPr>
          <w:rFonts w:asciiTheme="minorHAnsi" w:hAnsiTheme="minorHAnsi" w:cstheme="minorHAnsi"/>
          <w:sz w:val="22"/>
          <w:szCs w:val="22"/>
        </w:rPr>
        <w:t>»</w:t>
      </w:r>
      <w:r w:rsidR="00B67229" w:rsidRPr="0026237E">
        <w:rPr>
          <w:rFonts w:asciiTheme="minorHAnsi" w:hAnsiTheme="minorHAnsi" w:cstheme="minorHAnsi"/>
          <w:b/>
          <w:bCs/>
          <w:sz w:val="22"/>
          <w:szCs w:val="22"/>
        </w:rPr>
        <w:t xml:space="preserve"> </w:t>
      </w:r>
      <w:r w:rsidR="00B67229" w:rsidRPr="0026237E">
        <w:rPr>
          <w:rFonts w:asciiTheme="minorHAnsi" w:hAnsiTheme="minorHAnsi" w:cstheme="minorHAnsi"/>
          <w:sz w:val="22"/>
          <w:szCs w:val="22"/>
        </w:rPr>
        <w:t xml:space="preserve">à </w:t>
      </w:r>
      <w:r>
        <w:rPr>
          <w:rFonts w:asciiTheme="minorHAnsi" w:hAnsiTheme="minorHAnsi" w:cstheme="minorHAnsi"/>
          <w:sz w:val="22"/>
          <w:szCs w:val="22"/>
        </w:rPr>
        <w:t>300m</w:t>
      </w:r>
      <w:r w:rsidR="00B67229" w:rsidRPr="0026237E">
        <w:rPr>
          <w:rFonts w:asciiTheme="minorHAnsi" w:hAnsiTheme="minorHAnsi" w:cstheme="minorHAnsi"/>
          <w:sz w:val="22"/>
          <w:szCs w:val="22"/>
        </w:rPr>
        <w:t xml:space="preserve"> à l'ouest. </w:t>
      </w:r>
    </w:p>
    <w:p w14:paraId="49254D49" w14:textId="77777777" w:rsidR="00B67229" w:rsidRDefault="00C7092F" w:rsidP="00C7092F">
      <w:pPr>
        <w:pStyle w:val="Default"/>
        <w:jc w:val="both"/>
        <w:rPr>
          <w:rFonts w:asciiTheme="minorHAnsi" w:hAnsiTheme="minorHAnsi" w:cstheme="minorHAnsi"/>
          <w:sz w:val="22"/>
          <w:szCs w:val="22"/>
        </w:rPr>
      </w:pPr>
      <w:r w:rsidRPr="00E43A64">
        <w:rPr>
          <w:rFonts w:asciiTheme="minorHAnsi" w:hAnsiTheme="minorHAnsi" w:cstheme="minorHAnsi"/>
          <w:sz w:val="22"/>
          <w:szCs w:val="22"/>
        </w:rPr>
        <w:t>Le périmètre du site comprend 123 km de cours d’eau et 7948 hectares de vallée. Il est réparti sur 2 départements (la Dordogne et la Gironde) et 38 communes.</w:t>
      </w:r>
    </w:p>
    <w:p w14:paraId="3712CCF3" w14:textId="77777777" w:rsidR="00AC66FC" w:rsidRPr="00E43A64" w:rsidRDefault="00AC66FC" w:rsidP="00C7092F">
      <w:pPr>
        <w:pStyle w:val="Default"/>
        <w:jc w:val="both"/>
        <w:rPr>
          <w:rFonts w:asciiTheme="minorHAnsi" w:hAnsiTheme="minorHAnsi" w:cstheme="minorHAnsi"/>
          <w:sz w:val="22"/>
          <w:szCs w:val="22"/>
        </w:rPr>
      </w:pPr>
      <w:r w:rsidRPr="00AC66FC">
        <w:rPr>
          <w:rFonts w:asciiTheme="minorHAnsi" w:hAnsiTheme="minorHAnsi" w:cstheme="minorHAnsi"/>
          <w:noProof/>
          <w:sz w:val="22"/>
          <w:szCs w:val="22"/>
          <w:lang w:eastAsia="fr-FR"/>
        </w:rPr>
        <w:lastRenderedPageBreak/>
        <w:drawing>
          <wp:anchor distT="0" distB="0" distL="114300" distR="114300" simplePos="0" relativeHeight="251727872" behindDoc="1" locked="0" layoutInCell="1" allowOverlap="1" wp14:anchorId="2A19EED8" wp14:editId="35CDADCC">
            <wp:simplePos x="0" y="0"/>
            <wp:positionH relativeFrom="column">
              <wp:posOffset>2882900</wp:posOffset>
            </wp:positionH>
            <wp:positionV relativeFrom="paragraph">
              <wp:posOffset>3532505</wp:posOffset>
            </wp:positionV>
            <wp:extent cx="2799080" cy="2608580"/>
            <wp:effectExtent l="0" t="0" r="1270" b="1270"/>
            <wp:wrapTight wrapText="bothSides">
              <wp:wrapPolygon edited="0">
                <wp:start x="0" y="0"/>
                <wp:lineTo x="0" y="21453"/>
                <wp:lineTo x="21463" y="21453"/>
                <wp:lineTo x="21463" y="0"/>
                <wp:lineTo x="0" y="0"/>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bwMode="auto">
                    <a:xfrm>
                      <a:off x="0" y="0"/>
                      <a:ext cx="2799080" cy="2608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6FC">
        <w:rPr>
          <w:rFonts w:asciiTheme="minorHAnsi" w:hAnsiTheme="minorHAnsi" w:cstheme="minorHAnsi"/>
          <w:noProof/>
          <w:sz w:val="22"/>
          <w:szCs w:val="22"/>
          <w:lang w:eastAsia="fr-FR"/>
        </w:rPr>
        <w:drawing>
          <wp:inline distT="0" distB="0" distL="0" distR="0" wp14:anchorId="73B75796" wp14:editId="53390EAA">
            <wp:extent cx="5760720" cy="347218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88945" cy="3489192"/>
                    </a:xfrm>
                    <a:prstGeom prst="rect">
                      <a:avLst/>
                    </a:prstGeom>
                  </pic:spPr>
                </pic:pic>
              </a:graphicData>
            </a:graphic>
          </wp:inline>
        </w:drawing>
      </w:r>
    </w:p>
    <w:p w14:paraId="674D618A" w14:textId="77777777" w:rsidR="00C7092F" w:rsidRDefault="00AC66FC" w:rsidP="0026237E">
      <w:pPr>
        <w:pStyle w:val="Default"/>
        <w:jc w:val="both"/>
        <w:rPr>
          <w:rFonts w:asciiTheme="minorHAnsi" w:hAnsiTheme="minorHAnsi" w:cstheme="minorHAnsi"/>
          <w:sz w:val="22"/>
          <w:szCs w:val="22"/>
        </w:rPr>
      </w:pPr>
      <w:r w:rsidRPr="00AC66FC">
        <w:rPr>
          <w:rFonts w:asciiTheme="minorHAnsi" w:hAnsiTheme="minorHAnsi" w:cstheme="minorHAnsi"/>
          <w:noProof/>
          <w:sz w:val="22"/>
          <w:szCs w:val="22"/>
          <w:lang w:eastAsia="fr-FR"/>
        </w:rPr>
        <w:drawing>
          <wp:anchor distT="0" distB="0" distL="114300" distR="114300" simplePos="0" relativeHeight="251728896" behindDoc="1" locked="0" layoutInCell="1" allowOverlap="1" wp14:anchorId="59F643C1" wp14:editId="579218FB">
            <wp:simplePos x="0" y="0"/>
            <wp:positionH relativeFrom="column">
              <wp:posOffset>1905</wp:posOffset>
            </wp:positionH>
            <wp:positionV relativeFrom="paragraph">
              <wp:posOffset>57150</wp:posOffset>
            </wp:positionV>
            <wp:extent cx="2789555" cy="2608580"/>
            <wp:effectExtent l="0" t="0" r="0" b="1270"/>
            <wp:wrapThrough wrapText="bothSides">
              <wp:wrapPolygon edited="0">
                <wp:start x="0" y="0"/>
                <wp:lineTo x="0" y="21453"/>
                <wp:lineTo x="21389" y="21453"/>
                <wp:lineTo x="21389" y="0"/>
                <wp:lineTo x="0" y="0"/>
              </wp:wrapPolygon>
            </wp:wrapThrough>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789555" cy="2608580"/>
                    </a:xfrm>
                    <a:prstGeom prst="rect">
                      <a:avLst/>
                    </a:prstGeom>
                  </pic:spPr>
                </pic:pic>
              </a:graphicData>
            </a:graphic>
            <wp14:sizeRelH relativeFrom="margin">
              <wp14:pctWidth>0</wp14:pctWidth>
            </wp14:sizeRelH>
            <wp14:sizeRelV relativeFrom="margin">
              <wp14:pctHeight>0</wp14:pctHeight>
            </wp14:sizeRelV>
          </wp:anchor>
        </w:drawing>
      </w:r>
    </w:p>
    <w:p w14:paraId="1EA3CE1E" w14:textId="596D642C" w:rsidR="00AC66FC" w:rsidRPr="00C371C1" w:rsidRDefault="00B67D7B" w:rsidP="00B67D7B">
      <w:pPr>
        <w:pStyle w:val="Default"/>
        <w:jc w:val="both"/>
        <w:rPr>
          <w:rFonts w:asciiTheme="minorHAnsi" w:hAnsiTheme="minorHAnsi" w:cstheme="minorHAnsi"/>
          <w:sz w:val="22"/>
          <w:szCs w:val="22"/>
        </w:rPr>
      </w:pPr>
      <w:r w:rsidRPr="00C371C1">
        <w:rPr>
          <w:rFonts w:asciiTheme="minorHAnsi" w:hAnsiTheme="minorHAnsi" w:cstheme="minorHAnsi"/>
          <w:sz w:val="22"/>
          <w:szCs w:val="22"/>
        </w:rPr>
        <w:t xml:space="preserve">Dans sa partie amont, le site </w:t>
      </w:r>
      <w:r w:rsidR="00C371C1" w:rsidRPr="00C371C1">
        <w:rPr>
          <w:rFonts w:asciiTheme="minorHAnsi" w:hAnsiTheme="minorHAnsi" w:cstheme="minorHAnsi"/>
          <w:sz w:val="22"/>
          <w:szCs w:val="22"/>
        </w:rPr>
        <w:t xml:space="preserve">Natura 2000 </w:t>
      </w:r>
      <w:r w:rsidRPr="00C371C1">
        <w:rPr>
          <w:rFonts w:asciiTheme="minorHAnsi" w:hAnsiTheme="minorHAnsi" w:cstheme="minorHAnsi"/>
          <w:sz w:val="22"/>
          <w:szCs w:val="22"/>
        </w:rPr>
        <w:t>correspond pour l’essentiel à la vallée inondable de l’Isle. En aval, le périmètre s’élargit et intègre notamment les prairies bocagères</w:t>
      </w:r>
      <w:r w:rsidR="00C371C1" w:rsidRPr="00C371C1">
        <w:rPr>
          <w:rFonts w:asciiTheme="minorHAnsi" w:hAnsiTheme="minorHAnsi" w:cstheme="minorHAnsi"/>
          <w:sz w:val="22"/>
          <w:szCs w:val="22"/>
        </w:rPr>
        <w:t>, mais aussi des</w:t>
      </w:r>
      <w:r w:rsidRPr="00C371C1">
        <w:rPr>
          <w:rFonts w:asciiTheme="minorHAnsi" w:hAnsiTheme="minorHAnsi" w:cstheme="minorHAnsi"/>
          <w:sz w:val="22"/>
          <w:szCs w:val="22"/>
        </w:rPr>
        <w:t xml:space="preserve"> </w:t>
      </w:r>
      <w:r w:rsidRPr="00C371C1">
        <w:rPr>
          <w:rFonts w:asciiTheme="minorHAnsi" w:hAnsiTheme="minorHAnsi" w:cstheme="minorHAnsi"/>
          <w:b/>
          <w:sz w:val="22"/>
          <w:szCs w:val="22"/>
        </w:rPr>
        <w:t xml:space="preserve">secteurs actuellement urbanisés </w:t>
      </w:r>
      <w:r w:rsidRPr="00C371C1">
        <w:rPr>
          <w:rFonts w:asciiTheme="minorHAnsi" w:hAnsiTheme="minorHAnsi" w:cstheme="minorHAnsi"/>
          <w:sz w:val="22"/>
          <w:szCs w:val="22"/>
        </w:rPr>
        <w:t>de certaines communes. Le site présente une importante diversité de milieux aquatiques et de milieux alluviaux. Plusieurs espèces endémiques, rares et / ou menacées sont présentes, et notamment le vison d’Europe.</w:t>
      </w:r>
    </w:p>
    <w:p w14:paraId="0D27065B" w14:textId="77777777" w:rsidR="00AC66FC" w:rsidRPr="00C371C1" w:rsidRDefault="00AC66FC" w:rsidP="0026237E">
      <w:pPr>
        <w:pStyle w:val="Default"/>
        <w:jc w:val="both"/>
        <w:rPr>
          <w:rFonts w:asciiTheme="minorHAnsi" w:hAnsiTheme="minorHAnsi" w:cstheme="minorHAnsi"/>
          <w:sz w:val="22"/>
          <w:szCs w:val="22"/>
        </w:rPr>
      </w:pPr>
    </w:p>
    <w:p w14:paraId="2D2B800A" w14:textId="2CE69166" w:rsidR="00DA1440" w:rsidRDefault="00C371C1" w:rsidP="0026237E">
      <w:pPr>
        <w:pStyle w:val="Default"/>
        <w:jc w:val="both"/>
        <w:rPr>
          <w:rFonts w:asciiTheme="minorHAnsi" w:hAnsiTheme="minorHAnsi" w:cstheme="minorHAnsi"/>
          <w:sz w:val="22"/>
          <w:szCs w:val="22"/>
        </w:rPr>
      </w:pPr>
      <w:r>
        <w:rPr>
          <w:rFonts w:asciiTheme="minorHAnsi" w:hAnsiTheme="minorHAnsi" w:cstheme="minorHAnsi"/>
          <w:sz w:val="22"/>
          <w:szCs w:val="22"/>
        </w:rPr>
        <w:t>Cependant, le</w:t>
      </w:r>
      <w:r w:rsidR="00B67D7B">
        <w:rPr>
          <w:rFonts w:asciiTheme="minorHAnsi" w:hAnsiTheme="minorHAnsi" w:cstheme="minorHAnsi"/>
          <w:sz w:val="22"/>
          <w:szCs w:val="22"/>
        </w:rPr>
        <w:t xml:space="preserve"> site du projet n’est pas situé dans une zone le rendant susceptible de causer des conséquences significatives sur le site Natura 2000</w:t>
      </w:r>
      <w:r>
        <w:rPr>
          <w:rFonts w:asciiTheme="minorHAnsi" w:hAnsiTheme="minorHAnsi" w:cstheme="minorHAnsi"/>
          <w:sz w:val="22"/>
          <w:szCs w:val="22"/>
        </w:rPr>
        <w:t>, dont il est séparé par des secteurs urbanisés</w:t>
      </w:r>
      <w:r w:rsidR="00B67D7B">
        <w:rPr>
          <w:rFonts w:asciiTheme="minorHAnsi" w:hAnsiTheme="minorHAnsi" w:cstheme="minorHAnsi"/>
          <w:sz w:val="22"/>
          <w:szCs w:val="22"/>
        </w:rPr>
        <w:t xml:space="preserve">. </w:t>
      </w:r>
    </w:p>
    <w:p w14:paraId="78DBD533" w14:textId="77777777" w:rsidR="00DA1440" w:rsidRDefault="00DA1440">
      <w:pPr>
        <w:spacing w:before="0" w:after="160" w:line="259" w:lineRule="auto"/>
        <w:jc w:val="left"/>
        <w:rPr>
          <w:rFonts w:asciiTheme="minorHAnsi" w:hAnsiTheme="minorHAnsi" w:cstheme="minorHAnsi"/>
          <w:color w:val="000000"/>
          <w:sz w:val="22"/>
          <w:szCs w:val="22"/>
          <w:lang w:eastAsia="en-US"/>
        </w:rPr>
      </w:pPr>
      <w:r>
        <w:rPr>
          <w:rFonts w:asciiTheme="minorHAnsi" w:hAnsiTheme="minorHAnsi" w:cstheme="minorHAnsi"/>
          <w:sz w:val="22"/>
          <w:szCs w:val="22"/>
        </w:rPr>
        <w:br w:type="page"/>
      </w:r>
    </w:p>
    <w:p w14:paraId="248EF001" w14:textId="77777777" w:rsidR="00101305" w:rsidRDefault="00B67229" w:rsidP="00B67229">
      <w:pPr>
        <w:pStyle w:val="02-Titre2"/>
      </w:pPr>
      <w:r>
        <w:lastRenderedPageBreak/>
        <w:t xml:space="preserve"> </w:t>
      </w:r>
      <w:r w:rsidR="00101305">
        <w:t>Somme des incidences environnementales et conclusions</w:t>
      </w:r>
      <w:bookmarkEnd w:id="11"/>
      <w:r w:rsidR="00101305">
        <w:t xml:space="preserve"> </w:t>
      </w:r>
    </w:p>
    <w:p w14:paraId="1A9A0E30" w14:textId="77777777" w:rsidR="00101305" w:rsidRDefault="00101305" w:rsidP="00101305">
      <w:pPr>
        <w:rPr>
          <w:u w:val="single"/>
        </w:rPr>
      </w:pPr>
      <w:r w:rsidRPr="005276A8">
        <w:rPr>
          <w:u w:val="single"/>
        </w:rPr>
        <w:t>Tableau récapitulatif des incidences sur les différentes composantes environnementales </w:t>
      </w:r>
    </w:p>
    <w:p w14:paraId="231F0747" w14:textId="77777777" w:rsidR="00101305" w:rsidRPr="005276A8" w:rsidRDefault="00101305" w:rsidP="00101305">
      <w:pPr>
        <w:rPr>
          <w:u w:val="single"/>
        </w:rPr>
      </w:pPr>
    </w:p>
    <w:tbl>
      <w:tblPr>
        <w:tblStyle w:val="TableauGrille1Clair-Accentuation51"/>
        <w:tblW w:w="9062" w:type="dxa"/>
        <w:tblLook w:val="04A0" w:firstRow="1" w:lastRow="0" w:firstColumn="1" w:lastColumn="0" w:noHBand="0" w:noVBand="1"/>
      </w:tblPr>
      <w:tblGrid>
        <w:gridCol w:w="1345"/>
        <w:gridCol w:w="2095"/>
        <w:gridCol w:w="3096"/>
        <w:gridCol w:w="1331"/>
        <w:gridCol w:w="1195"/>
      </w:tblGrid>
      <w:tr w:rsidR="00D93669" w:rsidRPr="003C5461" w14:paraId="000D5D35" w14:textId="77777777" w:rsidTr="00CD023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5" w:type="dxa"/>
          </w:tcPr>
          <w:p w14:paraId="3399CFCC" w14:textId="77777777" w:rsidR="00D93669" w:rsidRPr="003C5461" w:rsidRDefault="00D93669" w:rsidP="00CD023B">
            <w:pPr>
              <w:spacing w:after="120"/>
              <w:jc w:val="center"/>
            </w:pPr>
            <w:r w:rsidRPr="003C5461">
              <w:t>Enjeu</w:t>
            </w:r>
          </w:p>
        </w:tc>
        <w:tc>
          <w:tcPr>
            <w:tcW w:w="2095" w:type="dxa"/>
          </w:tcPr>
          <w:p w14:paraId="2EC58C4B" w14:textId="77777777" w:rsidR="00D93669" w:rsidRPr="003C5461" w:rsidRDefault="00D93669" w:rsidP="00CD023B">
            <w:pPr>
              <w:jc w:val="center"/>
              <w:cnfStyle w:val="100000000000" w:firstRow="1" w:lastRow="0" w:firstColumn="0" w:lastColumn="0" w:oddVBand="0" w:evenVBand="0" w:oddHBand="0" w:evenHBand="0" w:firstRowFirstColumn="0" w:firstRowLastColumn="0" w:lastRowFirstColumn="0" w:lastRowLastColumn="0"/>
            </w:pPr>
            <w:r w:rsidRPr="003C5461">
              <w:t>Caractérisation de l’incidence</w:t>
            </w:r>
          </w:p>
        </w:tc>
        <w:tc>
          <w:tcPr>
            <w:tcW w:w="3096" w:type="dxa"/>
          </w:tcPr>
          <w:p w14:paraId="6BA3E226" w14:textId="77777777" w:rsidR="00D93669" w:rsidRPr="003C5461" w:rsidRDefault="00D93669" w:rsidP="00CD023B">
            <w:pPr>
              <w:jc w:val="center"/>
              <w:cnfStyle w:val="100000000000" w:firstRow="1" w:lastRow="0" w:firstColumn="0" w:lastColumn="0" w:oddVBand="0" w:evenVBand="0" w:oddHBand="0" w:evenHBand="0" w:firstRowFirstColumn="0" w:firstRowLastColumn="0" w:lastRowFirstColumn="0" w:lastRowLastColumn="0"/>
            </w:pPr>
            <w:r w:rsidRPr="003C5461">
              <w:t xml:space="preserve">Mesures de réduction </w:t>
            </w:r>
          </w:p>
        </w:tc>
        <w:tc>
          <w:tcPr>
            <w:tcW w:w="1331" w:type="dxa"/>
          </w:tcPr>
          <w:p w14:paraId="0927C1E5" w14:textId="77777777" w:rsidR="00D93669" w:rsidRPr="003C5461" w:rsidRDefault="00D93669" w:rsidP="00CD023B">
            <w:pPr>
              <w:jc w:val="center"/>
              <w:cnfStyle w:val="100000000000" w:firstRow="1" w:lastRow="0" w:firstColumn="0" w:lastColumn="0" w:oddVBand="0" w:evenVBand="0" w:oddHBand="0" w:evenHBand="0" w:firstRowFirstColumn="0" w:firstRowLastColumn="0" w:lastRowFirstColumn="0" w:lastRowLastColumn="0"/>
            </w:pPr>
            <w:r w:rsidRPr="003C5461">
              <w:t>Cumul avec une autre incidence</w:t>
            </w:r>
          </w:p>
        </w:tc>
        <w:tc>
          <w:tcPr>
            <w:tcW w:w="1195" w:type="dxa"/>
          </w:tcPr>
          <w:p w14:paraId="55462BDB" w14:textId="77777777" w:rsidR="00D93669" w:rsidRPr="003C5461" w:rsidRDefault="00D93669" w:rsidP="00CD023B">
            <w:pPr>
              <w:jc w:val="center"/>
              <w:cnfStyle w:val="100000000000" w:firstRow="1" w:lastRow="0" w:firstColumn="0" w:lastColumn="0" w:oddVBand="0" w:evenVBand="0" w:oddHBand="0" w:evenHBand="0" w:firstRowFirstColumn="0" w:firstRowLastColumn="0" w:lastRowFirstColumn="0" w:lastRowLastColumn="0"/>
            </w:pPr>
            <w:r w:rsidRPr="003C5461">
              <w:t>Caractère notable ?</w:t>
            </w:r>
          </w:p>
        </w:tc>
      </w:tr>
      <w:tr w:rsidR="00D93669" w:rsidRPr="003C5461" w14:paraId="6E2997E0" w14:textId="77777777" w:rsidTr="00CD023B">
        <w:trPr>
          <w:trHeight w:val="1039"/>
        </w:trPr>
        <w:tc>
          <w:tcPr>
            <w:cnfStyle w:val="001000000000" w:firstRow="0" w:lastRow="0" w:firstColumn="1" w:lastColumn="0" w:oddVBand="0" w:evenVBand="0" w:oddHBand="0" w:evenHBand="0" w:firstRowFirstColumn="0" w:firstRowLastColumn="0" w:lastRowFirstColumn="0" w:lastRowLastColumn="0"/>
            <w:tcW w:w="1345" w:type="dxa"/>
          </w:tcPr>
          <w:p w14:paraId="1BBD7C45" w14:textId="77777777" w:rsidR="00D93669" w:rsidRPr="003C5461" w:rsidRDefault="00D93669" w:rsidP="00CD023B">
            <w:pPr>
              <w:spacing w:after="120"/>
              <w:jc w:val="left"/>
              <w:rPr>
                <w:sz w:val="18"/>
                <w:szCs w:val="18"/>
              </w:rPr>
            </w:pPr>
            <w:r w:rsidRPr="003C5461">
              <w:rPr>
                <w:sz w:val="18"/>
                <w:szCs w:val="18"/>
              </w:rPr>
              <w:t>Dynamiques du territoire et population</w:t>
            </w:r>
          </w:p>
        </w:tc>
        <w:tc>
          <w:tcPr>
            <w:tcW w:w="2095" w:type="dxa"/>
          </w:tcPr>
          <w:p w14:paraId="4F551784"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Positive</w:t>
            </w:r>
          </w:p>
        </w:tc>
        <w:tc>
          <w:tcPr>
            <w:tcW w:w="3096" w:type="dxa"/>
          </w:tcPr>
          <w:p w14:paraId="0E741021"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w:t>
            </w:r>
          </w:p>
        </w:tc>
        <w:tc>
          <w:tcPr>
            <w:tcW w:w="1331" w:type="dxa"/>
          </w:tcPr>
          <w:p w14:paraId="159B680E"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c>
          <w:tcPr>
            <w:tcW w:w="1195" w:type="dxa"/>
          </w:tcPr>
          <w:p w14:paraId="05F39F0E"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6CFA15B1" w14:textId="77777777" w:rsidTr="00CD023B">
        <w:tc>
          <w:tcPr>
            <w:cnfStyle w:val="001000000000" w:firstRow="0" w:lastRow="0" w:firstColumn="1" w:lastColumn="0" w:oddVBand="0" w:evenVBand="0" w:oddHBand="0" w:evenHBand="0" w:firstRowFirstColumn="0" w:firstRowLastColumn="0" w:lastRowFirstColumn="0" w:lastRowLastColumn="0"/>
            <w:tcW w:w="1345" w:type="dxa"/>
          </w:tcPr>
          <w:p w14:paraId="4CB46AA1" w14:textId="77777777" w:rsidR="00D93669" w:rsidRPr="003C5461" w:rsidRDefault="00D93669" w:rsidP="00CD023B">
            <w:pPr>
              <w:spacing w:after="120"/>
              <w:jc w:val="left"/>
              <w:rPr>
                <w:sz w:val="18"/>
                <w:szCs w:val="18"/>
              </w:rPr>
            </w:pPr>
            <w:r w:rsidRPr="003C5461">
              <w:rPr>
                <w:sz w:val="18"/>
                <w:szCs w:val="18"/>
              </w:rPr>
              <w:t>Paysage</w:t>
            </w:r>
          </w:p>
        </w:tc>
        <w:tc>
          <w:tcPr>
            <w:tcW w:w="2095" w:type="dxa"/>
          </w:tcPr>
          <w:p w14:paraId="406B7EE0"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Faible</w:t>
            </w:r>
          </w:p>
        </w:tc>
        <w:tc>
          <w:tcPr>
            <w:tcW w:w="3096" w:type="dxa"/>
          </w:tcPr>
          <w:p w14:paraId="76EF2FCA" w14:textId="77777777" w:rsidR="00D93669" w:rsidRPr="003C5461" w:rsidRDefault="00D93669" w:rsidP="00CD023B">
            <w:pPr>
              <w:spacing w:after="120"/>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 xml:space="preserve">Le règlement écrit du PLU permettra de limiter l’impact des constructions sur le paysage et </w:t>
            </w:r>
            <w:r>
              <w:rPr>
                <w:sz w:val="18"/>
                <w:szCs w:val="18"/>
              </w:rPr>
              <w:t>d’</w:t>
            </w:r>
            <w:r w:rsidRPr="003C5461">
              <w:rPr>
                <w:sz w:val="18"/>
                <w:szCs w:val="18"/>
              </w:rPr>
              <w:t>améliorer leur insertion avec les constructions avoisinantes</w:t>
            </w:r>
          </w:p>
        </w:tc>
        <w:tc>
          <w:tcPr>
            <w:tcW w:w="1331" w:type="dxa"/>
          </w:tcPr>
          <w:p w14:paraId="51093F1C"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c>
          <w:tcPr>
            <w:tcW w:w="1195" w:type="dxa"/>
          </w:tcPr>
          <w:p w14:paraId="6AC6F035"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283AC8CB" w14:textId="77777777" w:rsidTr="00CD023B">
        <w:tc>
          <w:tcPr>
            <w:cnfStyle w:val="001000000000" w:firstRow="0" w:lastRow="0" w:firstColumn="1" w:lastColumn="0" w:oddVBand="0" w:evenVBand="0" w:oddHBand="0" w:evenHBand="0" w:firstRowFirstColumn="0" w:firstRowLastColumn="0" w:lastRowFirstColumn="0" w:lastRowLastColumn="0"/>
            <w:tcW w:w="1345" w:type="dxa"/>
          </w:tcPr>
          <w:p w14:paraId="511F0BA1" w14:textId="77777777" w:rsidR="00D93669" w:rsidRPr="003C5461" w:rsidRDefault="00D93669" w:rsidP="00CD023B">
            <w:pPr>
              <w:spacing w:after="120"/>
              <w:jc w:val="left"/>
              <w:rPr>
                <w:sz w:val="18"/>
                <w:szCs w:val="18"/>
              </w:rPr>
            </w:pPr>
            <w:r w:rsidRPr="003C5461">
              <w:rPr>
                <w:sz w:val="18"/>
                <w:szCs w:val="18"/>
              </w:rPr>
              <w:t>Patrimoine naturel et biodiversité</w:t>
            </w:r>
          </w:p>
        </w:tc>
        <w:tc>
          <w:tcPr>
            <w:tcW w:w="2095" w:type="dxa"/>
          </w:tcPr>
          <w:p w14:paraId="2F0E01B8"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Négligeable </w:t>
            </w:r>
          </w:p>
        </w:tc>
        <w:tc>
          <w:tcPr>
            <w:tcW w:w="3096" w:type="dxa"/>
          </w:tcPr>
          <w:p w14:paraId="4764CEB4" w14:textId="77777777" w:rsidR="00D93669" w:rsidRDefault="00D93669" w:rsidP="00CD023B">
            <w:pPr>
              <w:spacing w:after="120"/>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Le site est localisé au sein d’une enveloppe urbaine et éloigné des sensibilités environnementales identifiées</w:t>
            </w:r>
            <w:r>
              <w:rPr>
                <w:sz w:val="18"/>
                <w:szCs w:val="18"/>
              </w:rPr>
              <w:t xml:space="preserve">. </w:t>
            </w:r>
          </w:p>
          <w:p w14:paraId="015AA796" w14:textId="77777777" w:rsidR="00D93669" w:rsidRPr="003C5461" w:rsidRDefault="00D93669" w:rsidP="00CD023B">
            <w:pPr>
              <w:spacing w:after="12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Le changement des destinations autorisées dans cette zone déjà classée U n’est pas de nature à accroître significativement les impacts des futurs projets sur la biodiversité.</w:t>
            </w:r>
          </w:p>
        </w:tc>
        <w:tc>
          <w:tcPr>
            <w:tcW w:w="1331" w:type="dxa"/>
          </w:tcPr>
          <w:p w14:paraId="0DDBD0F4"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Non</w:t>
            </w:r>
          </w:p>
        </w:tc>
        <w:tc>
          <w:tcPr>
            <w:tcW w:w="1195" w:type="dxa"/>
          </w:tcPr>
          <w:p w14:paraId="44EBE19B"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4E10B5E3" w14:textId="77777777" w:rsidTr="00CD023B">
        <w:trPr>
          <w:trHeight w:val="985"/>
        </w:trPr>
        <w:tc>
          <w:tcPr>
            <w:cnfStyle w:val="001000000000" w:firstRow="0" w:lastRow="0" w:firstColumn="1" w:lastColumn="0" w:oddVBand="0" w:evenVBand="0" w:oddHBand="0" w:evenHBand="0" w:firstRowFirstColumn="0" w:firstRowLastColumn="0" w:lastRowFirstColumn="0" w:lastRowLastColumn="0"/>
            <w:tcW w:w="1345" w:type="dxa"/>
          </w:tcPr>
          <w:p w14:paraId="7235EEDB" w14:textId="77777777" w:rsidR="00D93669" w:rsidRPr="003C5461" w:rsidRDefault="00D93669" w:rsidP="00CD023B">
            <w:pPr>
              <w:spacing w:after="120"/>
              <w:jc w:val="left"/>
              <w:rPr>
                <w:sz w:val="18"/>
                <w:szCs w:val="18"/>
              </w:rPr>
            </w:pPr>
            <w:r w:rsidRPr="003C5461">
              <w:rPr>
                <w:sz w:val="18"/>
                <w:szCs w:val="18"/>
              </w:rPr>
              <w:t>Patrimoine bâti, historique et culturel</w:t>
            </w:r>
          </w:p>
        </w:tc>
        <w:tc>
          <w:tcPr>
            <w:tcW w:w="2095" w:type="dxa"/>
          </w:tcPr>
          <w:p w14:paraId="1A1942F8"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Nu</w:t>
            </w:r>
            <w:r>
              <w:rPr>
                <w:sz w:val="18"/>
                <w:szCs w:val="18"/>
              </w:rPr>
              <w:t>lle</w:t>
            </w:r>
          </w:p>
        </w:tc>
        <w:tc>
          <w:tcPr>
            <w:tcW w:w="3096" w:type="dxa"/>
          </w:tcPr>
          <w:p w14:paraId="562ADDDD" w14:textId="77777777" w:rsidR="00D93669" w:rsidRPr="003C5461" w:rsidRDefault="00D93669" w:rsidP="00CD023B">
            <w:pPr>
              <w:spacing w:after="120"/>
              <w:jc w:val="center"/>
              <w:cnfStyle w:val="000000000000" w:firstRow="0" w:lastRow="0" w:firstColumn="0" w:lastColumn="0" w:oddVBand="0" w:evenVBand="0" w:oddHBand="0" w:evenHBand="0" w:firstRowFirstColumn="0" w:firstRowLastColumn="0" w:lastRowFirstColumn="0" w:lastRowLastColumn="0"/>
              <w:rPr>
                <w:sz w:val="18"/>
                <w:szCs w:val="18"/>
              </w:rPr>
            </w:pPr>
          </w:p>
          <w:p w14:paraId="458E42D9" w14:textId="77777777" w:rsidR="00D93669" w:rsidRPr="003C5461" w:rsidRDefault="00D93669" w:rsidP="00CD023B">
            <w:pPr>
              <w:spacing w:after="120"/>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w:t>
            </w:r>
          </w:p>
        </w:tc>
        <w:tc>
          <w:tcPr>
            <w:tcW w:w="1331" w:type="dxa"/>
          </w:tcPr>
          <w:p w14:paraId="7DA75752"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c>
          <w:tcPr>
            <w:tcW w:w="1195" w:type="dxa"/>
          </w:tcPr>
          <w:p w14:paraId="17CDD27D"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1BAAD071" w14:textId="77777777" w:rsidTr="00CD023B">
        <w:trPr>
          <w:trHeight w:val="416"/>
        </w:trPr>
        <w:tc>
          <w:tcPr>
            <w:cnfStyle w:val="001000000000" w:firstRow="0" w:lastRow="0" w:firstColumn="1" w:lastColumn="0" w:oddVBand="0" w:evenVBand="0" w:oddHBand="0" w:evenHBand="0" w:firstRowFirstColumn="0" w:firstRowLastColumn="0" w:lastRowFirstColumn="0" w:lastRowLastColumn="0"/>
            <w:tcW w:w="1345" w:type="dxa"/>
          </w:tcPr>
          <w:p w14:paraId="721EB34F" w14:textId="77777777" w:rsidR="00D93669" w:rsidRPr="003C5461" w:rsidRDefault="00D93669" w:rsidP="00CD023B">
            <w:pPr>
              <w:spacing w:after="120"/>
              <w:jc w:val="left"/>
              <w:rPr>
                <w:sz w:val="18"/>
                <w:szCs w:val="18"/>
              </w:rPr>
            </w:pPr>
            <w:r w:rsidRPr="003C5461">
              <w:rPr>
                <w:sz w:val="18"/>
                <w:szCs w:val="18"/>
              </w:rPr>
              <w:t>Risques</w:t>
            </w:r>
          </w:p>
        </w:tc>
        <w:tc>
          <w:tcPr>
            <w:tcW w:w="2095" w:type="dxa"/>
          </w:tcPr>
          <w:p w14:paraId="1ED1C27B"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Faible</w:t>
            </w:r>
          </w:p>
        </w:tc>
        <w:tc>
          <w:tcPr>
            <w:tcW w:w="3096" w:type="dxa"/>
          </w:tcPr>
          <w:p w14:paraId="701EA7FF" w14:textId="77777777" w:rsidR="00D93669" w:rsidRPr="003C5461" w:rsidRDefault="00D93669" w:rsidP="00CD023B">
            <w:pPr>
              <w:spacing w:after="120"/>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w:t>
            </w:r>
          </w:p>
        </w:tc>
        <w:tc>
          <w:tcPr>
            <w:tcW w:w="1331" w:type="dxa"/>
          </w:tcPr>
          <w:p w14:paraId="631FCE22"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c>
          <w:tcPr>
            <w:tcW w:w="1195" w:type="dxa"/>
          </w:tcPr>
          <w:p w14:paraId="5633C8CA"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6F651C3E" w14:textId="77777777" w:rsidTr="00CD023B">
        <w:tc>
          <w:tcPr>
            <w:cnfStyle w:val="001000000000" w:firstRow="0" w:lastRow="0" w:firstColumn="1" w:lastColumn="0" w:oddVBand="0" w:evenVBand="0" w:oddHBand="0" w:evenHBand="0" w:firstRowFirstColumn="0" w:firstRowLastColumn="0" w:lastRowFirstColumn="0" w:lastRowLastColumn="0"/>
            <w:tcW w:w="1345" w:type="dxa"/>
          </w:tcPr>
          <w:p w14:paraId="030B377A" w14:textId="77777777" w:rsidR="00D93669" w:rsidRPr="003C5461" w:rsidRDefault="00D93669" w:rsidP="00CD023B">
            <w:pPr>
              <w:spacing w:after="120"/>
              <w:jc w:val="left"/>
              <w:rPr>
                <w:sz w:val="18"/>
                <w:szCs w:val="18"/>
              </w:rPr>
            </w:pPr>
            <w:r w:rsidRPr="003C5461">
              <w:rPr>
                <w:sz w:val="18"/>
                <w:szCs w:val="18"/>
              </w:rPr>
              <w:t>Sols et eau</w:t>
            </w:r>
          </w:p>
        </w:tc>
        <w:tc>
          <w:tcPr>
            <w:tcW w:w="2095" w:type="dxa"/>
          </w:tcPr>
          <w:p w14:paraId="605BEE2D"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Faible</w:t>
            </w:r>
          </w:p>
        </w:tc>
        <w:tc>
          <w:tcPr>
            <w:tcW w:w="3096" w:type="dxa"/>
          </w:tcPr>
          <w:p w14:paraId="41CD30A8" w14:textId="77777777" w:rsidR="00D93669" w:rsidRPr="003C5461" w:rsidRDefault="00D93669" w:rsidP="00CD023B">
            <w:pPr>
              <w:spacing w:after="120"/>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La nouvelle vocation n’induit pas une incidence supplémentaire</w:t>
            </w:r>
            <w:r>
              <w:rPr>
                <w:sz w:val="18"/>
                <w:szCs w:val="18"/>
              </w:rPr>
              <w:t xml:space="preserve"> significative</w:t>
            </w:r>
            <w:r w:rsidRPr="003C5461">
              <w:rPr>
                <w:sz w:val="18"/>
                <w:szCs w:val="18"/>
              </w:rPr>
              <w:t>.</w:t>
            </w:r>
          </w:p>
        </w:tc>
        <w:tc>
          <w:tcPr>
            <w:tcW w:w="1331" w:type="dxa"/>
          </w:tcPr>
          <w:p w14:paraId="77D0749F"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Patrimoine naturel et biodiversité</w:t>
            </w:r>
          </w:p>
        </w:tc>
        <w:tc>
          <w:tcPr>
            <w:tcW w:w="1195" w:type="dxa"/>
          </w:tcPr>
          <w:p w14:paraId="1316DE91"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3C5C571D" w14:textId="77777777" w:rsidTr="00CD023B">
        <w:trPr>
          <w:trHeight w:val="772"/>
        </w:trPr>
        <w:tc>
          <w:tcPr>
            <w:cnfStyle w:val="001000000000" w:firstRow="0" w:lastRow="0" w:firstColumn="1" w:lastColumn="0" w:oddVBand="0" w:evenVBand="0" w:oddHBand="0" w:evenHBand="0" w:firstRowFirstColumn="0" w:firstRowLastColumn="0" w:lastRowFirstColumn="0" w:lastRowLastColumn="0"/>
            <w:tcW w:w="1345" w:type="dxa"/>
          </w:tcPr>
          <w:p w14:paraId="14F95FE0" w14:textId="77777777" w:rsidR="00D93669" w:rsidRPr="003C5461" w:rsidRDefault="00D93669" w:rsidP="00CD023B">
            <w:pPr>
              <w:spacing w:after="120"/>
              <w:jc w:val="left"/>
              <w:rPr>
                <w:sz w:val="18"/>
                <w:szCs w:val="18"/>
              </w:rPr>
            </w:pPr>
            <w:r w:rsidRPr="003C5461">
              <w:rPr>
                <w:sz w:val="18"/>
                <w:szCs w:val="18"/>
              </w:rPr>
              <w:t>Climat et qualité de l’air</w:t>
            </w:r>
          </w:p>
        </w:tc>
        <w:tc>
          <w:tcPr>
            <w:tcW w:w="2095" w:type="dxa"/>
          </w:tcPr>
          <w:p w14:paraId="3DDFD6D6"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Faible</w:t>
            </w:r>
          </w:p>
        </w:tc>
        <w:tc>
          <w:tcPr>
            <w:tcW w:w="3096" w:type="dxa"/>
          </w:tcPr>
          <w:p w14:paraId="4F41AE00" w14:textId="77777777" w:rsidR="00D93669" w:rsidRDefault="00D93669" w:rsidP="00CD023B">
            <w:pPr>
              <w:spacing w:after="120"/>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Le règlement écrit du PLU permettra de limiter les volumes des constructions et ainsi réduire leurs émissions.</w:t>
            </w:r>
          </w:p>
          <w:p w14:paraId="25BD232C" w14:textId="77777777" w:rsidR="00D93669" w:rsidRPr="003C5461" w:rsidRDefault="00D93669" w:rsidP="00CD023B">
            <w:pPr>
              <w:spacing w:after="120"/>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Les éventuels rejets générés par les futures activités seront minimes du fait des normes applicables. Aucun impact significativement supérieur à celui d’une destination logement n’est à attendre.</w:t>
            </w:r>
          </w:p>
        </w:tc>
        <w:tc>
          <w:tcPr>
            <w:tcW w:w="1331" w:type="dxa"/>
          </w:tcPr>
          <w:p w14:paraId="63FB1B69"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Natura 2000 </w:t>
            </w:r>
          </w:p>
        </w:tc>
        <w:tc>
          <w:tcPr>
            <w:tcW w:w="1195" w:type="dxa"/>
          </w:tcPr>
          <w:p w14:paraId="33576F7A"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r w:rsidR="00D93669" w:rsidRPr="003C5461" w14:paraId="5D1E3534" w14:textId="77777777" w:rsidTr="00CD023B">
        <w:trPr>
          <w:trHeight w:val="455"/>
        </w:trPr>
        <w:tc>
          <w:tcPr>
            <w:cnfStyle w:val="001000000000" w:firstRow="0" w:lastRow="0" w:firstColumn="1" w:lastColumn="0" w:oddVBand="0" w:evenVBand="0" w:oddHBand="0" w:evenHBand="0" w:firstRowFirstColumn="0" w:firstRowLastColumn="0" w:lastRowFirstColumn="0" w:lastRowLastColumn="0"/>
            <w:tcW w:w="1345" w:type="dxa"/>
          </w:tcPr>
          <w:p w14:paraId="3D86CB6D" w14:textId="77777777" w:rsidR="00D93669" w:rsidRPr="003C5461" w:rsidRDefault="00D93669" w:rsidP="00CD023B">
            <w:pPr>
              <w:spacing w:after="120"/>
              <w:jc w:val="left"/>
              <w:rPr>
                <w:sz w:val="18"/>
                <w:szCs w:val="18"/>
              </w:rPr>
            </w:pPr>
            <w:r w:rsidRPr="003C5461">
              <w:rPr>
                <w:sz w:val="18"/>
                <w:szCs w:val="18"/>
              </w:rPr>
              <w:t>Natura 2000</w:t>
            </w:r>
          </w:p>
        </w:tc>
        <w:tc>
          <w:tcPr>
            <w:tcW w:w="2095" w:type="dxa"/>
          </w:tcPr>
          <w:p w14:paraId="7736F0E8"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Négligeable</w:t>
            </w:r>
          </w:p>
        </w:tc>
        <w:tc>
          <w:tcPr>
            <w:tcW w:w="3096" w:type="dxa"/>
          </w:tcPr>
          <w:p w14:paraId="11C4EC18" w14:textId="77777777" w:rsidR="00D93669" w:rsidRPr="003C5461" w:rsidRDefault="00D93669" w:rsidP="00CD023B">
            <w:pPr>
              <w:spacing w:after="120"/>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w:t>
            </w:r>
          </w:p>
        </w:tc>
        <w:tc>
          <w:tcPr>
            <w:tcW w:w="1331" w:type="dxa"/>
          </w:tcPr>
          <w:p w14:paraId="4AA21947"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c>
          <w:tcPr>
            <w:tcW w:w="1195" w:type="dxa"/>
          </w:tcPr>
          <w:p w14:paraId="47B09A59" w14:textId="77777777" w:rsidR="00D93669" w:rsidRPr="003C5461" w:rsidRDefault="00D93669" w:rsidP="00CD023B">
            <w:pPr>
              <w:jc w:val="center"/>
              <w:cnfStyle w:val="000000000000" w:firstRow="0" w:lastRow="0" w:firstColumn="0" w:lastColumn="0" w:oddVBand="0" w:evenVBand="0" w:oddHBand="0" w:evenHBand="0" w:firstRowFirstColumn="0" w:firstRowLastColumn="0" w:lastRowFirstColumn="0" w:lastRowLastColumn="0"/>
              <w:rPr>
                <w:sz w:val="18"/>
                <w:szCs w:val="18"/>
              </w:rPr>
            </w:pPr>
            <w:r w:rsidRPr="003C5461">
              <w:rPr>
                <w:sz w:val="18"/>
                <w:szCs w:val="18"/>
              </w:rPr>
              <w:t>NON</w:t>
            </w:r>
          </w:p>
        </w:tc>
      </w:tr>
    </w:tbl>
    <w:p w14:paraId="7CEF32D4" w14:textId="77777777" w:rsidR="00832447" w:rsidRDefault="00832447" w:rsidP="00DA1440">
      <w:pPr>
        <w:rPr>
          <w:lang w:eastAsia="en-US"/>
        </w:rPr>
      </w:pPr>
    </w:p>
    <w:p w14:paraId="7F7DE2C7" w14:textId="6AB40906" w:rsidR="00DA1440" w:rsidRDefault="00DA1440" w:rsidP="00DA1440">
      <w:pPr>
        <w:rPr>
          <w:lang w:eastAsia="en-US"/>
        </w:rPr>
      </w:pPr>
      <w:r w:rsidRPr="00DA1440">
        <w:rPr>
          <w:rFonts w:asciiTheme="minorHAnsi" w:hAnsiTheme="minorHAnsi" w:cstheme="minorHAnsi"/>
          <w:sz w:val="24"/>
          <w:lang w:eastAsia="en-US"/>
        </w:rPr>
        <w:lastRenderedPageBreak/>
        <w:t xml:space="preserve">Le projet de modification n° 1 du PLU </w:t>
      </w:r>
      <w:r>
        <w:rPr>
          <w:rFonts w:asciiTheme="minorHAnsi" w:hAnsiTheme="minorHAnsi" w:cstheme="minorHAnsi"/>
          <w:sz w:val="24"/>
          <w:lang w:eastAsia="en-US"/>
        </w:rPr>
        <w:t xml:space="preserve">de Les Billaux </w:t>
      </w:r>
      <w:r w:rsidRPr="00DA1440">
        <w:rPr>
          <w:rFonts w:asciiTheme="minorHAnsi" w:hAnsiTheme="minorHAnsi" w:cstheme="minorHAnsi"/>
          <w:sz w:val="24"/>
          <w:lang w:eastAsia="en-US"/>
        </w:rPr>
        <w:t xml:space="preserve">n’est pas de nature à induire un risque significatif pour la santé humaine et l’environnement. En conséquence, la Communauté d’Agglomération du Libournais </w:t>
      </w:r>
      <w:r w:rsidR="00C371C1">
        <w:rPr>
          <w:rFonts w:asciiTheme="minorHAnsi" w:hAnsiTheme="minorHAnsi" w:cstheme="minorHAnsi"/>
          <w:sz w:val="24"/>
          <w:lang w:eastAsia="en-US"/>
        </w:rPr>
        <w:t>estime que la réalisation d’</w:t>
      </w:r>
      <w:r w:rsidRPr="00DA1440">
        <w:rPr>
          <w:rFonts w:asciiTheme="minorHAnsi" w:hAnsiTheme="minorHAnsi" w:cstheme="minorHAnsi"/>
          <w:sz w:val="24"/>
          <w:lang w:eastAsia="en-US"/>
        </w:rPr>
        <w:t>une évaluation environnementale pour cette procédure</w:t>
      </w:r>
      <w:r w:rsidR="00C371C1">
        <w:rPr>
          <w:rFonts w:asciiTheme="minorHAnsi" w:hAnsiTheme="minorHAnsi" w:cstheme="minorHAnsi"/>
          <w:sz w:val="24"/>
          <w:lang w:eastAsia="en-US"/>
        </w:rPr>
        <w:t xml:space="preserve"> n’est pas nécessaire</w:t>
      </w:r>
      <w:r>
        <w:rPr>
          <w:lang w:eastAsia="en-US"/>
        </w:rPr>
        <w:t>.</w:t>
      </w:r>
    </w:p>
    <w:sectPr w:rsidR="00DA1440" w:rsidSect="007057EF">
      <w:footerReference w:type="default" r:id="rId3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53E095" w14:textId="77777777" w:rsidR="00210692" w:rsidRDefault="00210692" w:rsidP="0036312F">
      <w:pPr>
        <w:spacing w:before="0"/>
      </w:pPr>
      <w:r>
        <w:separator/>
      </w:r>
    </w:p>
  </w:endnote>
  <w:endnote w:type="continuationSeparator" w:id="0">
    <w:p w14:paraId="151B0438" w14:textId="77777777" w:rsidR="00210692" w:rsidRDefault="00210692" w:rsidP="0036312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Open Sans Light">
    <w:altName w:val="DejaVu Sans Condensed"/>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Eurostar">
    <w:altName w:val="Times New Roman"/>
    <w:charset w:val="00"/>
    <w:family w:val="auto"/>
    <w:pitch w:val="variable"/>
  </w:font>
  <w:font w:name="Droid Sans Fallback">
    <w:altName w:val="Times New Roman"/>
    <w:charset w:val="00"/>
    <w:family w:val="auto"/>
    <w:pitch w:val="variable"/>
  </w:font>
  <w:font w:name="Lohit Hindi">
    <w:altName w:val="Times New Roman"/>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4428110"/>
      <w:docPartObj>
        <w:docPartGallery w:val="Page Numbers (Bottom of Page)"/>
        <w:docPartUnique/>
      </w:docPartObj>
    </w:sdtPr>
    <w:sdtEndPr/>
    <w:sdtContent>
      <w:p w14:paraId="144C7FE9" w14:textId="4B699A95" w:rsidR="00826277" w:rsidRDefault="00826277">
        <w:pPr>
          <w:pStyle w:val="Pieddepage"/>
          <w:jc w:val="right"/>
        </w:pPr>
        <w:r>
          <w:fldChar w:fldCharType="begin"/>
        </w:r>
        <w:r>
          <w:instrText>PAGE   \* MERGEFORMAT</w:instrText>
        </w:r>
        <w:r>
          <w:fldChar w:fldCharType="separate"/>
        </w:r>
        <w:r w:rsidR="00B672F3">
          <w:rPr>
            <w:noProof/>
          </w:rPr>
          <w:t>16</w:t>
        </w:r>
        <w:r>
          <w:fldChar w:fldCharType="end"/>
        </w:r>
      </w:p>
    </w:sdtContent>
  </w:sdt>
  <w:p w14:paraId="55D3C371" w14:textId="77777777" w:rsidR="00826277" w:rsidRDefault="00826277">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D50F10" w14:textId="77777777" w:rsidR="00210692" w:rsidRDefault="00210692" w:rsidP="0036312F">
      <w:pPr>
        <w:spacing w:before="0"/>
      </w:pPr>
      <w:r>
        <w:separator/>
      </w:r>
    </w:p>
  </w:footnote>
  <w:footnote w:type="continuationSeparator" w:id="0">
    <w:p w14:paraId="4BD64B56" w14:textId="77777777" w:rsidR="00210692" w:rsidRDefault="00210692" w:rsidP="0036312F">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770B5"/>
    <w:multiLevelType w:val="hybridMultilevel"/>
    <w:tmpl w:val="497EC8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C407EE3"/>
    <w:multiLevelType w:val="hybridMultilevel"/>
    <w:tmpl w:val="D264EF5E"/>
    <w:lvl w:ilvl="0" w:tplc="999EF128">
      <w:start w:val="1"/>
      <w:numFmt w:val="bullet"/>
      <w:lvlText w:val=""/>
      <w:lvlJc w:val="left"/>
      <w:pPr>
        <w:ind w:left="720" w:hanging="360"/>
      </w:pPr>
      <w:rPr>
        <w:rFonts w:ascii="Wingdings" w:hAnsi="Wingdings" w:hint="default"/>
      </w:rPr>
    </w:lvl>
    <w:lvl w:ilvl="1" w:tplc="040C0003">
      <w:start w:val="1"/>
      <w:numFmt w:val="bullet"/>
      <w:pStyle w:val="retrait2"/>
      <w:lvlText w:val=""/>
      <w:lvlJc w:val="left"/>
      <w:pPr>
        <w:ind w:left="1440" w:hanging="360"/>
      </w:pPr>
      <w:rPr>
        <w:rFonts w:ascii="Wingdings" w:hAnsi="Wingdings"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10D2289"/>
    <w:multiLevelType w:val="hybridMultilevel"/>
    <w:tmpl w:val="46F23FC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2D175E6"/>
    <w:multiLevelType w:val="hybridMultilevel"/>
    <w:tmpl w:val="8E2A5368"/>
    <w:lvl w:ilvl="0" w:tplc="D4345BA2">
      <w:start w:val="4"/>
      <w:numFmt w:val="bullet"/>
      <w:lvlText w:val=""/>
      <w:lvlJc w:val="left"/>
      <w:pPr>
        <w:ind w:left="720" w:hanging="360"/>
      </w:pPr>
      <w:rPr>
        <w:rFonts w:ascii="Wingdings" w:eastAsia="Century Gothic" w:hAnsi="Wingdings" w:cs="Century Goth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7E83001"/>
    <w:multiLevelType w:val="hybridMultilevel"/>
    <w:tmpl w:val="F560F6A8"/>
    <w:lvl w:ilvl="0" w:tplc="383259A2">
      <w:start w:val="1"/>
      <w:numFmt w:val="bullet"/>
      <w:pStyle w:val="Retraitencar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520A9C30">
      <w:numFmt w:val="bullet"/>
      <w:lvlText w:val="-"/>
      <w:lvlJc w:val="left"/>
      <w:pPr>
        <w:ind w:left="2880" w:hanging="360"/>
      </w:pPr>
      <w:rPr>
        <w:rFonts w:ascii="Corbel" w:eastAsiaTheme="minorHAnsi" w:hAnsi="Corbel" w:cstheme="minorBidi"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27F7A91"/>
    <w:multiLevelType w:val="hybridMultilevel"/>
    <w:tmpl w:val="7E4A5D58"/>
    <w:lvl w:ilvl="0" w:tplc="F0B63C66">
      <w:numFmt w:val="bullet"/>
      <w:lvlText w:val="-"/>
      <w:lvlJc w:val="left"/>
      <w:pPr>
        <w:ind w:left="720" w:hanging="360"/>
      </w:pPr>
      <w:rPr>
        <w:rFonts w:ascii="Segoe UI" w:eastAsia="Times New Roman" w:hAnsi="Segoe UI"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F20062"/>
    <w:multiLevelType w:val="hybridMultilevel"/>
    <w:tmpl w:val="54C22DD2"/>
    <w:lvl w:ilvl="0" w:tplc="9DD8EDCC">
      <w:start w:val="1"/>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88F0A73"/>
    <w:multiLevelType w:val="hybridMultilevel"/>
    <w:tmpl w:val="773CC452"/>
    <w:lvl w:ilvl="0" w:tplc="7796577C">
      <w:start w:val="1"/>
      <w:numFmt w:val="bullet"/>
      <w:pStyle w:val="Renvoi"/>
      <w:lvlText w:val=""/>
      <w:lvlJc w:val="left"/>
      <w:pPr>
        <w:ind w:left="502" w:hanging="360"/>
      </w:pPr>
      <w:rPr>
        <w:rFonts w:ascii="Wingdings" w:hAnsi="Wingdings"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8" w15:restartNumberingAfterBreak="0">
    <w:nsid w:val="3A355294"/>
    <w:multiLevelType w:val="hybridMultilevel"/>
    <w:tmpl w:val="9744A674"/>
    <w:lvl w:ilvl="0" w:tplc="4344EC72">
      <w:numFmt w:val="bullet"/>
      <w:lvlText w:val="-"/>
      <w:lvlJc w:val="left"/>
      <w:pPr>
        <w:ind w:left="720" w:hanging="360"/>
      </w:pPr>
      <w:rPr>
        <w:rFonts w:ascii="Segoe UI" w:eastAsia="Times New Roman" w:hAnsi="Segoe UI" w:cs="Segoe U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AE0688C"/>
    <w:multiLevelType w:val="hybridMultilevel"/>
    <w:tmpl w:val="11A675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B4C1516"/>
    <w:multiLevelType w:val="multilevel"/>
    <w:tmpl w:val="15E8A670"/>
    <w:lvl w:ilvl="0">
      <w:start w:val="1"/>
      <w:numFmt w:val="decimal"/>
      <w:lvlText w:val="%1"/>
      <w:lvlJc w:val="left"/>
      <w:pPr>
        <w:ind w:left="360" w:hanging="360"/>
      </w:pPr>
      <w:rPr>
        <w:rFonts w:hint="default"/>
        <w:b/>
        <w:color w:val="auto"/>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1" w15:restartNumberingAfterBreak="0">
    <w:nsid w:val="3EF90582"/>
    <w:multiLevelType w:val="hybridMultilevel"/>
    <w:tmpl w:val="DD466114"/>
    <w:lvl w:ilvl="0" w:tplc="B1B63C88">
      <w:start w:val="1"/>
      <w:numFmt w:val="bullet"/>
      <w:pStyle w:val="aRetrait"/>
      <w:lvlText w:val=""/>
      <w:lvlJc w:val="left"/>
      <w:pPr>
        <w:ind w:left="2771" w:hanging="360"/>
      </w:pPr>
      <w:rPr>
        <w:rFonts w:ascii="Symbol" w:hAnsi="Symbol" w:hint="default"/>
        <w:b w:val="0"/>
        <w:i w:val="0"/>
        <w:color w:val="2F5496" w:themeColor="accent5" w:themeShade="BF"/>
        <w:sz w:val="22"/>
        <w:u w:val="none"/>
      </w:rPr>
    </w:lvl>
    <w:lvl w:ilvl="1" w:tplc="9546420A">
      <w:start w:val="1"/>
      <w:numFmt w:val="bullet"/>
      <w:lvlText w:val="o"/>
      <w:lvlJc w:val="left"/>
      <w:pPr>
        <w:ind w:left="1817" w:hanging="360"/>
      </w:pPr>
      <w:rPr>
        <w:rFonts w:ascii="Courier New" w:hAnsi="Courier New" w:cs="Courier New" w:hint="default"/>
      </w:rPr>
    </w:lvl>
    <w:lvl w:ilvl="2" w:tplc="C7743D9A">
      <w:start w:val="1"/>
      <w:numFmt w:val="bullet"/>
      <w:lvlText w:val=""/>
      <w:lvlJc w:val="left"/>
      <w:pPr>
        <w:ind w:left="2537" w:hanging="360"/>
      </w:pPr>
      <w:rPr>
        <w:rFonts w:ascii="Wingdings" w:hAnsi="Wingdings" w:hint="default"/>
      </w:rPr>
    </w:lvl>
    <w:lvl w:ilvl="3" w:tplc="BC90742C">
      <w:start w:val="1"/>
      <w:numFmt w:val="bullet"/>
      <w:lvlText w:val=""/>
      <w:lvlJc w:val="left"/>
      <w:pPr>
        <w:ind w:left="3257" w:hanging="360"/>
      </w:pPr>
      <w:rPr>
        <w:rFonts w:ascii="Symbol" w:hAnsi="Symbol" w:hint="default"/>
      </w:rPr>
    </w:lvl>
    <w:lvl w:ilvl="4" w:tplc="495E12D0">
      <w:start w:val="1"/>
      <w:numFmt w:val="bullet"/>
      <w:lvlText w:val="o"/>
      <w:lvlJc w:val="left"/>
      <w:pPr>
        <w:ind w:left="3977" w:hanging="360"/>
      </w:pPr>
      <w:rPr>
        <w:rFonts w:ascii="Courier New" w:hAnsi="Courier New" w:cs="Courier New" w:hint="default"/>
      </w:rPr>
    </w:lvl>
    <w:lvl w:ilvl="5" w:tplc="04160082">
      <w:start w:val="1"/>
      <w:numFmt w:val="bullet"/>
      <w:lvlText w:val=""/>
      <w:lvlJc w:val="left"/>
      <w:pPr>
        <w:ind w:left="4697" w:hanging="360"/>
      </w:pPr>
      <w:rPr>
        <w:rFonts w:ascii="Wingdings" w:hAnsi="Wingdings" w:hint="default"/>
      </w:rPr>
    </w:lvl>
    <w:lvl w:ilvl="6" w:tplc="E482D88A">
      <w:start w:val="1"/>
      <w:numFmt w:val="bullet"/>
      <w:lvlText w:val=""/>
      <w:lvlJc w:val="left"/>
      <w:pPr>
        <w:ind w:left="5417" w:hanging="360"/>
      </w:pPr>
      <w:rPr>
        <w:rFonts w:ascii="Symbol" w:hAnsi="Symbol" w:hint="default"/>
      </w:rPr>
    </w:lvl>
    <w:lvl w:ilvl="7" w:tplc="C2AE24B0">
      <w:start w:val="1"/>
      <w:numFmt w:val="bullet"/>
      <w:lvlText w:val="o"/>
      <w:lvlJc w:val="left"/>
      <w:pPr>
        <w:ind w:left="6137" w:hanging="360"/>
      </w:pPr>
      <w:rPr>
        <w:rFonts w:ascii="Courier New" w:hAnsi="Courier New" w:cs="Courier New" w:hint="default"/>
      </w:rPr>
    </w:lvl>
    <w:lvl w:ilvl="8" w:tplc="DF6E1D1A">
      <w:start w:val="1"/>
      <w:numFmt w:val="bullet"/>
      <w:lvlText w:val=""/>
      <w:lvlJc w:val="left"/>
      <w:pPr>
        <w:ind w:left="6857" w:hanging="360"/>
      </w:pPr>
      <w:rPr>
        <w:rFonts w:ascii="Wingdings" w:hAnsi="Wingdings" w:hint="default"/>
      </w:rPr>
    </w:lvl>
  </w:abstractNum>
  <w:abstractNum w:abstractNumId="12" w15:restartNumberingAfterBreak="0">
    <w:nsid w:val="4AF6134F"/>
    <w:multiLevelType w:val="hybridMultilevel"/>
    <w:tmpl w:val="1004D96A"/>
    <w:lvl w:ilvl="0" w:tplc="040C0001">
      <w:start w:val="1"/>
      <w:numFmt w:val="bullet"/>
      <w:lvlText w:val=""/>
      <w:lvlJc w:val="left"/>
      <w:pPr>
        <w:ind w:left="720" w:hanging="360"/>
      </w:pPr>
      <w:rPr>
        <w:rFonts w:ascii="Symbol" w:hAnsi="Symbol" w:hint="default"/>
      </w:rPr>
    </w:lvl>
    <w:lvl w:ilvl="1" w:tplc="661E0A64">
      <w:numFmt w:val="bullet"/>
      <w:lvlText w:val="•"/>
      <w:lvlJc w:val="left"/>
      <w:pPr>
        <w:ind w:left="1440" w:hanging="360"/>
      </w:pPr>
      <w:rPr>
        <w:rFonts w:ascii="Segoe UI" w:eastAsia="Times New Roman" w:hAnsi="Segoe UI" w:cs="Segoe UI"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19165A0"/>
    <w:multiLevelType w:val="hybridMultilevel"/>
    <w:tmpl w:val="888AA03C"/>
    <w:lvl w:ilvl="0" w:tplc="8D660254">
      <w:numFmt w:val="bullet"/>
      <w:lvlText w:val=""/>
      <w:lvlJc w:val="left"/>
      <w:pPr>
        <w:ind w:left="720" w:hanging="360"/>
      </w:pPr>
      <w:rPr>
        <w:rFonts w:ascii="Segoe UI" w:eastAsia="Times New Roman" w:hAnsi="Segoe UI" w:cs="Segoe U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2792906"/>
    <w:multiLevelType w:val="hybridMultilevel"/>
    <w:tmpl w:val="F8C09FB2"/>
    <w:lvl w:ilvl="0" w:tplc="040C0005">
      <w:start w:val="1"/>
      <w:numFmt w:val="bullet"/>
      <w:lvlText w:val=""/>
      <w:lvlJc w:val="left"/>
      <w:pPr>
        <w:tabs>
          <w:tab w:val="num" w:pos="1324"/>
        </w:tabs>
        <w:ind w:left="1304" w:hanging="340"/>
      </w:pPr>
      <w:rPr>
        <w:rFonts w:ascii="Symbol" w:hAnsi="Symbol" w:hint="default"/>
        <w:b w:val="0"/>
        <w:i w:val="0"/>
        <w:color w:val="333333"/>
        <w:sz w:val="20"/>
        <w:u w:val="none"/>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E44383"/>
    <w:multiLevelType w:val="hybridMultilevel"/>
    <w:tmpl w:val="989E83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35F3317"/>
    <w:multiLevelType w:val="hybridMultilevel"/>
    <w:tmpl w:val="8A94CF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5E7525F"/>
    <w:multiLevelType w:val="hybridMultilevel"/>
    <w:tmpl w:val="A2F2AE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AF94862"/>
    <w:multiLevelType w:val="hybridMultilevel"/>
    <w:tmpl w:val="244CE13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5FF0418"/>
    <w:multiLevelType w:val="hybridMultilevel"/>
    <w:tmpl w:val="0B089112"/>
    <w:lvl w:ilvl="0" w:tplc="59F2FD32">
      <w:start w:val="1"/>
      <w:numFmt w:val="bullet"/>
      <w:pStyle w:val="03-Titre4"/>
      <w:lvlText w:val=""/>
      <w:lvlJc w:val="center"/>
      <w:pPr>
        <w:ind w:left="720" w:hanging="360"/>
      </w:pPr>
      <w:rPr>
        <w:rFonts w:ascii="Wingdings" w:hAnsi="Wingdings" w:hint="default"/>
        <w:spacing w:val="0"/>
        <w:w w:val="100"/>
        <w:position w:val="-6"/>
        <w:sz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D43362B"/>
    <w:multiLevelType w:val="hybridMultilevel"/>
    <w:tmpl w:val="7714BB46"/>
    <w:lvl w:ilvl="0" w:tplc="47C8559A">
      <w:start w:val="3"/>
      <w:numFmt w:val="bullet"/>
      <w:lvlText w:val=""/>
      <w:lvlJc w:val="left"/>
      <w:pPr>
        <w:ind w:left="1080" w:hanging="360"/>
      </w:pPr>
      <w:rPr>
        <w:rFonts w:ascii="Wingdings" w:eastAsia="Times New Roman" w:hAnsi="Wingdings" w:cstheme="minorHAns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1" w15:restartNumberingAfterBreak="0">
    <w:nsid w:val="7FB62C16"/>
    <w:multiLevelType w:val="hybridMultilevel"/>
    <w:tmpl w:val="0D04BD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9"/>
  </w:num>
  <w:num w:numId="2">
    <w:abstractNumId w:val="7"/>
  </w:num>
  <w:num w:numId="3">
    <w:abstractNumId w:val="4"/>
  </w:num>
  <w:num w:numId="4">
    <w:abstractNumId w:val="14"/>
  </w:num>
  <w:num w:numId="5">
    <w:abstractNumId w:val="1"/>
  </w:num>
  <w:num w:numId="6">
    <w:abstractNumId w:val="3"/>
  </w:num>
  <w:num w:numId="7">
    <w:abstractNumId w:val="21"/>
  </w:num>
  <w:num w:numId="8">
    <w:abstractNumId w:val="18"/>
  </w:num>
  <w:num w:numId="9">
    <w:abstractNumId w:val="2"/>
  </w:num>
  <w:num w:numId="10">
    <w:abstractNumId w:val="0"/>
  </w:num>
  <w:num w:numId="11">
    <w:abstractNumId w:val="13"/>
  </w:num>
  <w:num w:numId="12">
    <w:abstractNumId w:val="15"/>
  </w:num>
  <w:num w:numId="13">
    <w:abstractNumId w:val="9"/>
  </w:num>
  <w:num w:numId="14">
    <w:abstractNumId w:val="5"/>
  </w:num>
  <w:num w:numId="15">
    <w:abstractNumId w:val="11"/>
  </w:num>
  <w:num w:numId="16">
    <w:abstractNumId w:val="12"/>
  </w:num>
  <w:num w:numId="17">
    <w:abstractNumId w:val="16"/>
  </w:num>
  <w:num w:numId="18">
    <w:abstractNumId w:val="8"/>
  </w:num>
  <w:num w:numId="19">
    <w:abstractNumId w:val="6"/>
  </w:num>
  <w:num w:numId="20">
    <w:abstractNumId w:val="10"/>
  </w:num>
  <w:num w:numId="21">
    <w:abstractNumId w:val="17"/>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19EB"/>
    <w:rsid w:val="00001234"/>
    <w:rsid w:val="000014A0"/>
    <w:rsid w:val="000064F5"/>
    <w:rsid w:val="000132FE"/>
    <w:rsid w:val="00013DAB"/>
    <w:rsid w:val="000178B8"/>
    <w:rsid w:val="000204A5"/>
    <w:rsid w:val="00022642"/>
    <w:rsid w:val="00031727"/>
    <w:rsid w:val="00031FA6"/>
    <w:rsid w:val="000327A4"/>
    <w:rsid w:val="000358A5"/>
    <w:rsid w:val="0004663E"/>
    <w:rsid w:val="00053443"/>
    <w:rsid w:val="00060733"/>
    <w:rsid w:val="00062548"/>
    <w:rsid w:val="0006704F"/>
    <w:rsid w:val="000827D8"/>
    <w:rsid w:val="0008371B"/>
    <w:rsid w:val="000877BF"/>
    <w:rsid w:val="000972C6"/>
    <w:rsid w:val="000A668A"/>
    <w:rsid w:val="000A74AE"/>
    <w:rsid w:val="000B6973"/>
    <w:rsid w:val="000C3001"/>
    <w:rsid w:val="000C328F"/>
    <w:rsid w:val="000D20DE"/>
    <w:rsid w:val="000D493B"/>
    <w:rsid w:val="000E35B4"/>
    <w:rsid w:val="000E41D2"/>
    <w:rsid w:val="000F2D42"/>
    <w:rsid w:val="00101305"/>
    <w:rsid w:val="00102464"/>
    <w:rsid w:val="00102939"/>
    <w:rsid w:val="001061FB"/>
    <w:rsid w:val="00110A11"/>
    <w:rsid w:val="00112012"/>
    <w:rsid w:val="00116D9D"/>
    <w:rsid w:val="001175F5"/>
    <w:rsid w:val="001219D1"/>
    <w:rsid w:val="00126901"/>
    <w:rsid w:val="00136CCD"/>
    <w:rsid w:val="00146FD0"/>
    <w:rsid w:val="00151887"/>
    <w:rsid w:val="00157431"/>
    <w:rsid w:val="00162736"/>
    <w:rsid w:val="0017420B"/>
    <w:rsid w:val="001754AA"/>
    <w:rsid w:val="00180D18"/>
    <w:rsid w:val="001930E1"/>
    <w:rsid w:val="001940C1"/>
    <w:rsid w:val="00194BDB"/>
    <w:rsid w:val="00195B5B"/>
    <w:rsid w:val="00195B6D"/>
    <w:rsid w:val="00196CB3"/>
    <w:rsid w:val="001A31A5"/>
    <w:rsid w:val="001A4A11"/>
    <w:rsid w:val="001B0AE6"/>
    <w:rsid w:val="001B7AE9"/>
    <w:rsid w:val="001B7B24"/>
    <w:rsid w:val="001C176B"/>
    <w:rsid w:val="001C5A99"/>
    <w:rsid w:val="001D6833"/>
    <w:rsid w:val="001E09FB"/>
    <w:rsid w:val="001E2B7E"/>
    <w:rsid w:val="001E2DD5"/>
    <w:rsid w:val="001E791E"/>
    <w:rsid w:val="001F1CF5"/>
    <w:rsid w:val="00202101"/>
    <w:rsid w:val="002030BE"/>
    <w:rsid w:val="00210692"/>
    <w:rsid w:val="00212BA1"/>
    <w:rsid w:val="0021488B"/>
    <w:rsid w:val="00220690"/>
    <w:rsid w:val="0023310A"/>
    <w:rsid w:val="002332E1"/>
    <w:rsid w:val="00242F08"/>
    <w:rsid w:val="00244809"/>
    <w:rsid w:val="002530B7"/>
    <w:rsid w:val="00255C1A"/>
    <w:rsid w:val="0026237E"/>
    <w:rsid w:val="0027256B"/>
    <w:rsid w:val="00293EBD"/>
    <w:rsid w:val="00294C14"/>
    <w:rsid w:val="00295B08"/>
    <w:rsid w:val="00296111"/>
    <w:rsid w:val="00297968"/>
    <w:rsid w:val="002B3D71"/>
    <w:rsid w:val="002E2B4F"/>
    <w:rsid w:val="002E560C"/>
    <w:rsid w:val="002F0F53"/>
    <w:rsid w:val="002F14DD"/>
    <w:rsid w:val="002F1DDC"/>
    <w:rsid w:val="002F2447"/>
    <w:rsid w:val="002F66C7"/>
    <w:rsid w:val="003038BA"/>
    <w:rsid w:val="00306ADC"/>
    <w:rsid w:val="0030767C"/>
    <w:rsid w:val="00307997"/>
    <w:rsid w:val="00314D79"/>
    <w:rsid w:val="00323A59"/>
    <w:rsid w:val="003259BA"/>
    <w:rsid w:val="003265D0"/>
    <w:rsid w:val="00327251"/>
    <w:rsid w:val="00332249"/>
    <w:rsid w:val="003346A2"/>
    <w:rsid w:val="00335654"/>
    <w:rsid w:val="0036312F"/>
    <w:rsid w:val="00364BCA"/>
    <w:rsid w:val="00364C50"/>
    <w:rsid w:val="00371399"/>
    <w:rsid w:val="00375962"/>
    <w:rsid w:val="00396D9D"/>
    <w:rsid w:val="003A01BA"/>
    <w:rsid w:val="003A1581"/>
    <w:rsid w:val="003A2B64"/>
    <w:rsid w:val="003A5BCF"/>
    <w:rsid w:val="003B5B31"/>
    <w:rsid w:val="003B7472"/>
    <w:rsid w:val="003C4D7D"/>
    <w:rsid w:val="003C7C06"/>
    <w:rsid w:val="003D0A9E"/>
    <w:rsid w:val="003D3ACA"/>
    <w:rsid w:val="003E2EE9"/>
    <w:rsid w:val="003E39D6"/>
    <w:rsid w:val="003E3A78"/>
    <w:rsid w:val="003F38DB"/>
    <w:rsid w:val="003F541E"/>
    <w:rsid w:val="00410CAB"/>
    <w:rsid w:val="00416A20"/>
    <w:rsid w:val="0042342A"/>
    <w:rsid w:val="00433511"/>
    <w:rsid w:val="004447C5"/>
    <w:rsid w:val="0044545E"/>
    <w:rsid w:val="00445714"/>
    <w:rsid w:val="004512DD"/>
    <w:rsid w:val="00451A4C"/>
    <w:rsid w:val="004601F2"/>
    <w:rsid w:val="00472313"/>
    <w:rsid w:val="00480FD9"/>
    <w:rsid w:val="004851E9"/>
    <w:rsid w:val="00487B40"/>
    <w:rsid w:val="00492A37"/>
    <w:rsid w:val="00496976"/>
    <w:rsid w:val="004A2C3E"/>
    <w:rsid w:val="004B26D3"/>
    <w:rsid w:val="004B319C"/>
    <w:rsid w:val="004B672C"/>
    <w:rsid w:val="004D3984"/>
    <w:rsid w:val="004E4787"/>
    <w:rsid w:val="004E4D2B"/>
    <w:rsid w:val="004E4D3C"/>
    <w:rsid w:val="004E6B9C"/>
    <w:rsid w:val="004F1865"/>
    <w:rsid w:val="004F20A1"/>
    <w:rsid w:val="004F27F8"/>
    <w:rsid w:val="004F3127"/>
    <w:rsid w:val="004F7BB9"/>
    <w:rsid w:val="0050242D"/>
    <w:rsid w:val="00504169"/>
    <w:rsid w:val="00506814"/>
    <w:rsid w:val="0051086C"/>
    <w:rsid w:val="00514F70"/>
    <w:rsid w:val="00517AE5"/>
    <w:rsid w:val="005219BA"/>
    <w:rsid w:val="005276A8"/>
    <w:rsid w:val="00532EBA"/>
    <w:rsid w:val="00536BCE"/>
    <w:rsid w:val="0054146D"/>
    <w:rsid w:val="00542D98"/>
    <w:rsid w:val="00544F4D"/>
    <w:rsid w:val="00551F91"/>
    <w:rsid w:val="00557FED"/>
    <w:rsid w:val="005719C0"/>
    <w:rsid w:val="00571BBD"/>
    <w:rsid w:val="00573512"/>
    <w:rsid w:val="0057581C"/>
    <w:rsid w:val="00575A66"/>
    <w:rsid w:val="0057690A"/>
    <w:rsid w:val="0058155D"/>
    <w:rsid w:val="00581A0B"/>
    <w:rsid w:val="00584563"/>
    <w:rsid w:val="005901F5"/>
    <w:rsid w:val="00590577"/>
    <w:rsid w:val="00593878"/>
    <w:rsid w:val="00594983"/>
    <w:rsid w:val="005967EB"/>
    <w:rsid w:val="005A0592"/>
    <w:rsid w:val="005A2964"/>
    <w:rsid w:val="005A62C7"/>
    <w:rsid w:val="005B10E2"/>
    <w:rsid w:val="005B1884"/>
    <w:rsid w:val="005B2767"/>
    <w:rsid w:val="005B2A55"/>
    <w:rsid w:val="005B2FFC"/>
    <w:rsid w:val="005B635E"/>
    <w:rsid w:val="005B7D88"/>
    <w:rsid w:val="005C1C71"/>
    <w:rsid w:val="005E293F"/>
    <w:rsid w:val="005E7899"/>
    <w:rsid w:val="005F3B31"/>
    <w:rsid w:val="005F3BAB"/>
    <w:rsid w:val="005F67CE"/>
    <w:rsid w:val="005F6D2B"/>
    <w:rsid w:val="0060058F"/>
    <w:rsid w:val="006069C8"/>
    <w:rsid w:val="00610959"/>
    <w:rsid w:val="006226F5"/>
    <w:rsid w:val="006248C0"/>
    <w:rsid w:val="0062522E"/>
    <w:rsid w:val="006327E9"/>
    <w:rsid w:val="00637BA9"/>
    <w:rsid w:val="006620E5"/>
    <w:rsid w:val="00662D28"/>
    <w:rsid w:val="00662DB3"/>
    <w:rsid w:val="00664DEB"/>
    <w:rsid w:val="0066594D"/>
    <w:rsid w:val="006702A6"/>
    <w:rsid w:val="00683EB6"/>
    <w:rsid w:val="006A6BB1"/>
    <w:rsid w:val="006B2EA2"/>
    <w:rsid w:val="006B46CA"/>
    <w:rsid w:val="006B76AB"/>
    <w:rsid w:val="006C17A8"/>
    <w:rsid w:val="006C7450"/>
    <w:rsid w:val="006C78A8"/>
    <w:rsid w:val="006D0E50"/>
    <w:rsid w:val="006D0F61"/>
    <w:rsid w:val="006D2907"/>
    <w:rsid w:val="006D3029"/>
    <w:rsid w:val="006D4863"/>
    <w:rsid w:val="006D69E5"/>
    <w:rsid w:val="006D7B5D"/>
    <w:rsid w:val="006D7F4D"/>
    <w:rsid w:val="006E4CFF"/>
    <w:rsid w:val="006E6507"/>
    <w:rsid w:val="006E6F57"/>
    <w:rsid w:val="006F17E2"/>
    <w:rsid w:val="006F3A85"/>
    <w:rsid w:val="006F55B0"/>
    <w:rsid w:val="006F747A"/>
    <w:rsid w:val="007005D5"/>
    <w:rsid w:val="007014EE"/>
    <w:rsid w:val="007057EF"/>
    <w:rsid w:val="0072323B"/>
    <w:rsid w:val="0072625C"/>
    <w:rsid w:val="00726417"/>
    <w:rsid w:val="007370CD"/>
    <w:rsid w:val="0073731F"/>
    <w:rsid w:val="00745230"/>
    <w:rsid w:val="00751A66"/>
    <w:rsid w:val="00755686"/>
    <w:rsid w:val="0076162B"/>
    <w:rsid w:val="00762083"/>
    <w:rsid w:val="00762D33"/>
    <w:rsid w:val="00771DD6"/>
    <w:rsid w:val="007748A4"/>
    <w:rsid w:val="007846E8"/>
    <w:rsid w:val="00787041"/>
    <w:rsid w:val="00794AD7"/>
    <w:rsid w:val="00796507"/>
    <w:rsid w:val="007A102E"/>
    <w:rsid w:val="007A7B6B"/>
    <w:rsid w:val="007B42EC"/>
    <w:rsid w:val="007C5AE5"/>
    <w:rsid w:val="007D14AF"/>
    <w:rsid w:val="007D1EC1"/>
    <w:rsid w:val="007E3A24"/>
    <w:rsid w:val="007E45EE"/>
    <w:rsid w:val="007E5AEE"/>
    <w:rsid w:val="007F2250"/>
    <w:rsid w:val="007F30CC"/>
    <w:rsid w:val="007F55C8"/>
    <w:rsid w:val="008019EB"/>
    <w:rsid w:val="00820CD0"/>
    <w:rsid w:val="00821AFE"/>
    <w:rsid w:val="00826277"/>
    <w:rsid w:val="00832447"/>
    <w:rsid w:val="00832E2B"/>
    <w:rsid w:val="0083473C"/>
    <w:rsid w:val="008400C3"/>
    <w:rsid w:val="00842586"/>
    <w:rsid w:val="008468E9"/>
    <w:rsid w:val="00847A9A"/>
    <w:rsid w:val="008539DC"/>
    <w:rsid w:val="008574EE"/>
    <w:rsid w:val="00862870"/>
    <w:rsid w:val="00876C1F"/>
    <w:rsid w:val="00880C0A"/>
    <w:rsid w:val="0089249F"/>
    <w:rsid w:val="0089463F"/>
    <w:rsid w:val="008A36AC"/>
    <w:rsid w:val="008A4501"/>
    <w:rsid w:val="008B3FF2"/>
    <w:rsid w:val="008B50B4"/>
    <w:rsid w:val="008B583A"/>
    <w:rsid w:val="008C04FC"/>
    <w:rsid w:val="008C10C6"/>
    <w:rsid w:val="008C1D59"/>
    <w:rsid w:val="008D1D1A"/>
    <w:rsid w:val="008D4727"/>
    <w:rsid w:val="008E1E4F"/>
    <w:rsid w:val="008E3B54"/>
    <w:rsid w:val="008E425B"/>
    <w:rsid w:val="008E5CFD"/>
    <w:rsid w:val="008F0F72"/>
    <w:rsid w:val="009071A3"/>
    <w:rsid w:val="00907A6F"/>
    <w:rsid w:val="0091006F"/>
    <w:rsid w:val="00912C84"/>
    <w:rsid w:val="00917E2E"/>
    <w:rsid w:val="009246AB"/>
    <w:rsid w:val="00925E27"/>
    <w:rsid w:val="00936CE5"/>
    <w:rsid w:val="00936D27"/>
    <w:rsid w:val="00943FFE"/>
    <w:rsid w:val="00944A30"/>
    <w:rsid w:val="00952419"/>
    <w:rsid w:val="0096434D"/>
    <w:rsid w:val="0096493C"/>
    <w:rsid w:val="00977529"/>
    <w:rsid w:val="00983B3E"/>
    <w:rsid w:val="009964BD"/>
    <w:rsid w:val="00996908"/>
    <w:rsid w:val="009A5A2C"/>
    <w:rsid w:val="009B3DAA"/>
    <w:rsid w:val="009B5DEB"/>
    <w:rsid w:val="009E5151"/>
    <w:rsid w:val="009E7C5F"/>
    <w:rsid w:val="009F2E2C"/>
    <w:rsid w:val="009F6E80"/>
    <w:rsid w:val="00A042D0"/>
    <w:rsid w:val="00A10A82"/>
    <w:rsid w:val="00A14003"/>
    <w:rsid w:val="00A179FA"/>
    <w:rsid w:val="00A35EA1"/>
    <w:rsid w:val="00A371C6"/>
    <w:rsid w:val="00A37573"/>
    <w:rsid w:val="00A4533B"/>
    <w:rsid w:val="00A62043"/>
    <w:rsid w:val="00A65F5D"/>
    <w:rsid w:val="00A679BC"/>
    <w:rsid w:val="00A74EF6"/>
    <w:rsid w:val="00A80BB0"/>
    <w:rsid w:val="00A83E31"/>
    <w:rsid w:val="00A90C55"/>
    <w:rsid w:val="00A97D0D"/>
    <w:rsid w:val="00A97E4B"/>
    <w:rsid w:val="00AB3BDA"/>
    <w:rsid w:val="00AB572E"/>
    <w:rsid w:val="00AC01DD"/>
    <w:rsid w:val="00AC32D4"/>
    <w:rsid w:val="00AC5DCD"/>
    <w:rsid w:val="00AC64E4"/>
    <w:rsid w:val="00AC66FC"/>
    <w:rsid w:val="00AE23A5"/>
    <w:rsid w:val="00AF18D2"/>
    <w:rsid w:val="00AF3592"/>
    <w:rsid w:val="00AF7234"/>
    <w:rsid w:val="00B03C1F"/>
    <w:rsid w:val="00B04EFF"/>
    <w:rsid w:val="00B125AC"/>
    <w:rsid w:val="00B13498"/>
    <w:rsid w:val="00B155CB"/>
    <w:rsid w:val="00B16449"/>
    <w:rsid w:val="00B175C5"/>
    <w:rsid w:val="00B17621"/>
    <w:rsid w:val="00B3051D"/>
    <w:rsid w:val="00B30DBE"/>
    <w:rsid w:val="00B340BA"/>
    <w:rsid w:val="00B4256C"/>
    <w:rsid w:val="00B447EE"/>
    <w:rsid w:val="00B4481E"/>
    <w:rsid w:val="00B54CA9"/>
    <w:rsid w:val="00B5571D"/>
    <w:rsid w:val="00B57BE8"/>
    <w:rsid w:val="00B627C5"/>
    <w:rsid w:val="00B66CB7"/>
    <w:rsid w:val="00B67229"/>
    <w:rsid w:val="00B672F3"/>
    <w:rsid w:val="00B67D7B"/>
    <w:rsid w:val="00B71C14"/>
    <w:rsid w:val="00B73CD8"/>
    <w:rsid w:val="00B74D97"/>
    <w:rsid w:val="00B75B3C"/>
    <w:rsid w:val="00B82438"/>
    <w:rsid w:val="00B83B41"/>
    <w:rsid w:val="00B86469"/>
    <w:rsid w:val="00BA6079"/>
    <w:rsid w:val="00BB4B67"/>
    <w:rsid w:val="00BC12A6"/>
    <w:rsid w:val="00BC1788"/>
    <w:rsid w:val="00BD7D75"/>
    <w:rsid w:val="00BE1EA8"/>
    <w:rsid w:val="00BE40FD"/>
    <w:rsid w:val="00BE4E16"/>
    <w:rsid w:val="00BE4F6A"/>
    <w:rsid w:val="00BE50F5"/>
    <w:rsid w:val="00BF1E5A"/>
    <w:rsid w:val="00BF4A5E"/>
    <w:rsid w:val="00BF4C8D"/>
    <w:rsid w:val="00BF7CD2"/>
    <w:rsid w:val="00C071E7"/>
    <w:rsid w:val="00C137BF"/>
    <w:rsid w:val="00C23C9F"/>
    <w:rsid w:val="00C34E9F"/>
    <w:rsid w:val="00C371C1"/>
    <w:rsid w:val="00C418DB"/>
    <w:rsid w:val="00C436F9"/>
    <w:rsid w:val="00C51540"/>
    <w:rsid w:val="00C526E8"/>
    <w:rsid w:val="00C53709"/>
    <w:rsid w:val="00C7092F"/>
    <w:rsid w:val="00C75012"/>
    <w:rsid w:val="00C81913"/>
    <w:rsid w:val="00C834BF"/>
    <w:rsid w:val="00C91193"/>
    <w:rsid w:val="00C931D0"/>
    <w:rsid w:val="00C96E6C"/>
    <w:rsid w:val="00CA183F"/>
    <w:rsid w:val="00CA5AF4"/>
    <w:rsid w:val="00CB06B4"/>
    <w:rsid w:val="00CB10BE"/>
    <w:rsid w:val="00CB2B2D"/>
    <w:rsid w:val="00CD10C2"/>
    <w:rsid w:val="00CD3FED"/>
    <w:rsid w:val="00CE2644"/>
    <w:rsid w:val="00CE2A52"/>
    <w:rsid w:val="00CE45FC"/>
    <w:rsid w:val="00CE5669"/>
    <w:rsid w:val="00CF335D"/>
    <w:rsid w:val="00CF3F84"/>
    <w:rsid w:val="00CF47F2"/>
    <w:rsid w:val="00CF4814"/>
    <w:rsid w:val="00D057C2"/>
    <w:rsid w:val="00D116CF"/>
    <w:rsid w:val="00D12DE1"/>
    <w:rsid w:val="00D16860"/>
    <w:rsid w:val="00D216A2"/>
    <w:rsid w:val="00D3304A"/>
    <w:rsid w:val="00D35870"/>
    <w:rsid w:val="00D40064"/>
    <w:rsid w:val="00D56759"/>
    <w:rsid w:val="00D70385"/>
    <w:rsid w:val="00D705C8"/>
    <w:rsid w:val="00D7129A"/>
    <w:rsid w:val="00D72A61"/>
    <w:rsid w:val="00D8057D"/>
    <w:rsid w:val="00D81D0D"/>
    <w:rsid w:val="00D83844"/>
    <w:rsid w:val="00D840C6"/>
    <w:rsid w:val="00D869B0"/>
    <w:rsid w:val="00D93669"/>
    <w:rsid w:val="00D97FDD"/>
    <w:rsid w:val="00DA1440"/>
    <w:rsid w:val="00DA32CD"/>
    <w:rsid w:val="00DA67B6"/>
    <w:rsid w:val="00DA7A57"/>
    <w:rsid w:val="00DB175B"/>
    <w:rsid w:val="00DC1213"/>
    <w:rsid w:val="00DC5B16"/>
    <w:rsid w:val="00DC61A3"/>
    <w:rsid w:val="00DD16AE"/>
    <w:rsid w:val="00DD6FC1"/>
    <w:rsid w:val="00DE13D9"/>
    <w:rsid w:val="00DE4739"/>
    <w:rsid w:val="00DE4B26"/>
    <w:rsid w:val="00DE5D52"/>
    <w:rsid w:val="00DF16C3"/>
    <w:rsid w:val="00DF25F0"/>
    <w:rsid w:val="00DF31F0"/>
    <w:rsid w:val="00DF3AD2"/>
    <w:rsid w:val="00DF71C7"/>
    <w:rsid w:val="00E00CA2"/>
    <w:rsid w:val="00E01451"/>
    <w:rsid w:val="00E014E8"/>
    <w:rsid w:val="00E05096"/>
    <w:rsid w:val="00E06447"/>
    <w:rsid w:val="00E10E94"/>
    <w:rsid w:val="00E245EF"/>
    <w:rsid w:val="00E33FE6"/>
    <w:rsid w:val="00E34747"/>
    <w:rsid w:val="00E34861"/>
    <w:rsid w:val="00E34961"/>
    <w:rsid w:val="00E41A80"/>
    <w:rsid w:val="00E43A64"/>
    <w:rsid w:val="00E45657"/>
    <w:rsid w:val="00E50420"/>
    <w:rsid w:val="00E53597"/>
    <w:rsid w:val="00E56A1D"/>
    <w:rsid w:val="00E612AF"/>
    <w:rsid w:val="00E628C0"/>
    <w:rsid w:val="00E6395D"/>
    <w:rsid w:val="00E6453C"/>
    <w:rsid w:val="00E729A0"/>
    <w:rsid w:val="00E73A71"/>
    <w:rsid w:val="00E748A4"/>
    <w:rsid w:val="00E86099"/>
    <w:rsid w:val="00E952B4"/>
    <w:rsid w:val="00EA16F9"/>
    <w:rsid w:val="00EB125E"/>
    <w:rsid w:val="00EB271C"/>
    <w:rsid w:val="00EB587E"/>
    <w:rsid w:val="00EC5C52"/>
    <w:rsid w:val="00EC67AF"/>
    <w:rsid w:val="00EE351F"/>
    <w:rsid w:val="00EF2004"/>
    <w:rsid w:val="00EF3B63"/>
    <w:rsid w:val="00F0417A"/>
    <w:rsid w:val="00F10728"/>
    <w:rsid w:val="00F122BF"/>
    <w:rsid w:val="00F248D3"/>
    <w:rsid w:val="00F24A8A"/>
    <w:rsid w:val="00F25882"/>
    <w:rsid w:val="00F3464A"/>
    <w:rsid w:val="00F36797"/>
    <w:rsid w:val="00F41FCD"/>
    <w:rsid w:val="00F512FE"/>
    <w:rsid w:val="00F55AAF"/>
    <w:rsid w:val="00F602DD"/>
    <w:rsid w:val="00F67715"/>
    <w:rsid w:val="00F70EBD"/>
    <w:rsid w:val="00F71E65"/>
    <w:rsid w:val="00F74F31"/>
    <w:rsid w:val="00F75F4C"/>
    <w:rsid w:val="00F7632B"/>
    <w:rsid w:val="00F83ECE"/>
    <w:rsid w:val="00F84983"/>
    <w:rsid w:val="00F84B58"/>
    <w:rsid w:val="00F94BEE"/>
    <w:rsid w:val="00F96204"/>
    <w:rsid w:val="00FA4484"/>
    <w:rsid w:val="00FB1E46"/>
    <w:rsid w:val="00FB6277"/>
    <w:rsid w:val="00FB7867"/>
    <w:rsid w:val="00FC1078"/>
    <w:rsid w:val="00FC3AC3"/>
    <w:rsid w:val="00FC5410"/>
    <w:rsid w:val="00FD52D0"/>
    <w:rsid w:val="00FE38E7"/>
    <w:rsid w:val="00FE744A"/>
    <w:rsid w:val="00FF1AB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8B808D"/>
  <w15:chartTrackingRefBased/>
  <w15:docId w15:val="{CBF0B43E-5A74-44E1-909B-052892EF0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1F91"/>
    <w:pPr>
      <w:spacing w:before="120" w:after="0" w:line="240" w:lineRule="auto"/>
      <w:jc w:val="both"/>
    </w:pPr>
    <w:rPr>
      <w:rFonts w:ascii="Segoe UI" w:hAnsi="Segoe UI" w:cs="Times New Roman"/>
      <w:sz w:val="20"/>
      <w:szCs w:val="20"/>
      <w:lang w:eastAsia="fr-FR"/>
    </w:rPr>
  </w:style>
  <w:style w:type="paragraph" w:styleId="Titre1">
    <w:name w:val="heading 1"/>
    <w:basedOn w:val="Normal"/>
    <w:next w:val="Normal"/>
    <w:link w:val="Titre1Car"/>
    <w:uiPriority w:val="9"/>
    <w:qFormat/>
    <w:rsid w:val="005A0592"/>
    <w:pPr>
      <w:keepNext/>
      <w:pBdr>
        <w:bottom w:val="single" w:sz="12" w:space="4" w:color="0070C0"/>
      </w:pBdr>
      <w:spacing w:before="240" w:after="240"/>
      <w:jc w:val="left"/>
      <w:outlineLvl w:val="0"/>
    </w:pPr>
    <w:rPr>
      <w:b/>
      <w:smallCaps/>
      <w:color w:val="333333"/>
      <w:sz w:val="40"/>
    </w:rPr>
  </w:style>
  <w:style w:type="paragraph" w:styleId="Titre2">
    <w:name w:val="heading 2"/>
    <w:basedOn w:val="Normal"/>
    <w:next w:val="Normal"/>
    <w:link w:val="Titre2Car"/>
    <w:qFormat/>
    <w:rsid w:val="005A0592"/>
    <w:pPr>
      <w:spacing w:before="240" w:after="80"/>
      <w:jc w:val="left"/>
      <w:outlineLvl w:val="1"/>
    </w:pPr>
    <w:rPr>
      <w:b/>
      <w:sz w:val="32"/>
    </w:rPr>
  </w:style>
  <w:style w:type="paragraph" w:styleId="Titre3">
    <w:name w:val="heading 3"/>
    <w:basedOn w:val="Normal"/>
    <w:next w:val="Normal"/>
    <w:link w:val="Titre3Car"/>
    <w:qFormat/>
    <w:rsid w:val="005A0592"/>
    <w:pPr>
      <w:spacing w:before="160" w:after="40"/>
      <w:ind w:left="720" w:hanging="720"/>
      <w:jc w:val="left"/>
      <w:outlineLvl w:val="2"/>
    </w:pPr>
    <w:rPr>
      <w:b/>
      <w:iCs/>
      <w:color w:val="333333"/>
      <w:sz w:val="28"/>
    </w:rPr>
  </w:style>
  <w:style w:type="paragraph" w:styleId="Titre4">
    <w:name w:val="heading 4"/>
    <w:basedOn w:val="Normal"/>
    <w:next w:val="Normal"/>
    <w:link w:val="Titre4Car"/>
    <w:uiPriority w:val="9"/>
    <w:unhideWhenUsed/>
    <w:qFormat/>
    <w:rsid w:val="005A0592"/>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rsid w:val="005A0592"/>
    <w:rPr>
      <w:rFonts w:ascii="Segoe UI" w:eastAsia="Times New Roman" w:hAnsi="Segoe UI" w:cs="Times New Roman"/>
      <w:b/>
      <w:sz w:val="32"/>
      <w:szCs w:val="20"/>
      <w:lang w:eastAsia="fr-FR"/>
    </w:rPr>
  </w:style>
  <w:style w:type="paragraph" w:customStyle="1" w:styleId="02-Titre2">
    <w:name w:val="02-Titre 2"/>
    <w:basedOn w:val="Titre2"/>
    <w:next w:val="Normal"/>
    <w:link w:val="02-Titre2Car"/>
    <w:qFormat/>
    <w:rsid w:val="005A0592"/>
    <w:pPr>
      <w:shd w:val="clear" w:color="auto" w:fill="8EAADB" w:themeFill="accent5" w:themeFillTint="99"/>
      <w:tabs>
        <w:tab w:val="center" w:pos="4536"/>
        <w:tab w:val="right" w:pos="9072"/>
      </w:tabs>
      <w:spacing w:before="0" w:after="0" w:line="276" w:lineRule="auto"/>
      <w:outlineLvl w:val="3"/>
    </w:pPr>
    <w:rPr>
      <w:rFonts w:ascii="Corbel" w:eastAsia="Batang" w:hAnsi="Corbel"/>
      <w:b w:val="0"/>
      <w:sz w:val="24"/>
      <w:szCs w:val="28"/>
      <w:lang w:eastAsia="en-US"/>
    </w:rPr>
  </w:style>
  <w:style w:type="character" w:customStyle="1" w:styleId="02-Titre2Car">
    <w:name w:val="02-Titre 2 Car"/>
    <w:basedOn w:val="Policepardfaut"/>
    <w:link w:val="02-Titre2"/>
    <w:rsid w:val="005A0592"/>
    <w:rPr>
      <w:rFonts w:ascii="Corbel" w:eastAsia="Batang" w:hAnsi="Corbel" w:cs="Times New Roman"/>
      <w:sz w:val="24"/>
      <w:szCs w:val="28"/>
      <w:shd w:val="clear" w:color="auto" w:fill="8EAADB" w:themeFill="accent5" w:themeFillTint="99"/>
    </w:rPr>
  </w:style>
  <w:style w:type="paragraph" w:customStyle="1" w:styleId="02-Titre3">
    <w:name w:val="02-Titre 3"/>
    <w:basedOn w:val="Titre2"/>
    <w:rsid w:val="005A0592"/>
    <w:pPr>
      <w:tabs>
        <w:tab w:val="center" w:pos="4536"/>
        <w:tab w:val="left" w:pos="4820"/>
        <w:tab w:val="right" w:pos="9072"/>
      </w:tabs>
      <w:spacing w:after="120"/>
      <w:outlineLvl w:val="9"/>
    </w:pPr>
    <w:rPr>
      <w:rFonts w:ascii="Century Gothic" w:eastAsiaTheme="minorEastAsia" w:hAnsi="Century Gothic"/>
      <w:color w:val="408873"/>
      <w:sz w:val="24"/>
      <w:szCs w:val="24"/>
      <w:lang w:eastAsia="en-US"/>
    </w:rPr>
  </w:style>
  <w:style w:type="paragraph" w:customStyle="1" w:styleId="03-Titre4">
    <w:name w:val="03-Titre 4"/>
    <w:basedOn w:val="Normal"/>
    <w:qFormat/>
    <w:rsid w:val="005A0592"/>
    <w:pPr>
      <w:numPr>
        <w:numId w:val="1"/>
      </w:numPr>
      <w:spacing w:before="240" w:after="120"/>
      <w:jc w:val="left"/>
    </w:pPr>
    <w:rPr>
      <w:rFonts w:ascii="Open Sans Light" w:eastAsia="Batang" w:hAnsi="Open Sans Light"/>
      <w:szCs w:val="24"/>
      <w:lang w:eastAsia="en-US"/>
    </w:rPr>
  </w:style>
  <w:style w:type="paragraph" w:customStyle="1" w:styleId="04-titre5">
    <w:name w:val="04-titre 5"/>
    <w:basedOn w:val="Normal"/>
    <w:link w:val="04-titre5Car"/>
    <w:rsid w:val="005A0592"/>
    <w:pPr>
      <w:tabs>
        <w:tab w:val="center" w:pos="4536"/>
        <w:tab w:val="left" w:pos="4820"/>
        <w:tab w:val="right" w:pos="9072"/>
      </w:tabs>
      <w:spacing w:before="0" w:after="120"/>
    </w:pPr>
    <w:rPr>
      <w:rFonts w:ascii="Century Gothic" w:eastAsiaTheme="minorEastAsia" w:hAnsi="Century Gothic"/>
      <w:b/>
      <w:color w:val="438F79"/>
      <w:sz w:val="18"/>
      <w:lang w:eastAsia="en-US"/>
    </w:rPr>
  </w:style>
  <w:style w:type="character" w:customStyle="1" w:styleId="04-titre5Car">
    <w:name w:val="04-titre 5 Car"/>
    <w:link w:val="04-titre5"/>
    <w:rsid w:val="005A0592"/>
    <w:rPr>
      <w:rFonts w:ascii="Century Gothic" w:eastAsiaTheme="minorEastAsia" w:hAnsi="Century Gothic" w:cs="Times New Roman"/>
      <w:b/>
      <w:color w:val="438F79"/>
      <w:sz w:val="18"/>
      <w:szCs w:val="20"/>
    </w:rPr>
  </w:style>
  <w:style w:type="character" w:styleId="Appelnotedebasdep">
    <w:name w:val="footnote reference"/>
    <w:uiPriority w:val="99"/>
    <w:rsid w:val="005A0592"/>
    <w:rPr>
      <w:rFonts w:ascii="Arial" w:hAnsi="Arial"/>
      <w:i/>
      <w:sz w:val="18"/>
      <w:vertAlign w:val="superscript"/>
    </w:rPr>
  </w:style>
  <w:style w:type="paragraph" w:styleId="Titre">
    <w:name w:val="Title"/>
    <w:basedOn w:val="Normal"/>
    <w:next w:val="Normal"/>
    <w:link w:val="TitreCar"/>
    <w:uiPriority w:val="10"/>
    <w:qFormat/>
    <w:rsid w:val="005A0592"/>
    <w:pPr>
      <w:spacing w:before="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A0592"/>
    <w:rPr>
      <w:rFonts w:asciiTheme="majorHAnsi" w:eastAsiaTheme="majorEastAsia" w:hAnsiTheme="majorHAnsi" w:cstheme="majorBidi"/>
      <w:spacing w:val="-10"/>
      <w:kern w:val="28"/>
      <w:sz w:val="56"/>
      <w:szCs w:val="56"/>
      <w:lang w:eastAsia="fr-FR"/>
    </w:rPr>
  </w:style>
  <w:style w:type="paragraph" w:customStyle="1" w:styleId="ARTICLE1">
    <w:name w:val="ARTICLE 1"/>
    <w:basedOn w:val="Titre1"/>
    <w:next w:val="02-Titre2"/>
    <w:link w:val="ARTICLE1Car"/>
    <w:qFormat/>
    <w:rsid w:val="00212BA1"/>
    <w:pPr>
      <w:spacing w:before="120" w:after="120"/>
    </w:pPr>
    <w:rPr>
      <w:rFonts w:ascii="Corbel" w:hAnsi="Corbel" w:cs="Arial"/>
      <w:bCs/>
      <w:color w:val="8496B0" w:themeColor="text2" w:themeTint="99"/>
      <w:sz w:val="28"/>
      <w:szCs w:val="28"/>
    </w:rPr>
  </w:style>
  <w:style w:type="character" w:customStyle="1" w:styleId="ARTICLE1Car">
    <w:name w:val="ARTICLE 1 Car"/>
    <w:basedOn w:val="Policepardfaut"/>
    <w:link w:val="ARTICLE1"/>
    <w:rsid w:val="00212BA1"/>
    <w:rPr>
      <w:rFonts w:ascii="Corbel" w:hAnsi="Corbel" w:cs="Arial"/>
      <w:b/>
      <w:bCs/>
      <w:smallCaps/>
      <w:color w:val="8496B0" w:themeColor="text2" w:themeTint="99"/>
      <w:sz w:val="28"/>
      <w:szCs w:val="28"/>
      <w:lang w:eastAsia="fr-FR"/>
    </w:rPr>
  </w:style>
  <w:style w:type="paragraph" w:styleId="Commentaire">
    <w:name w:val="annotation text"/>
    <w:basedOn w:val="Normal"/>
    <w:link w:val="CommentaireCar"/>
    <w:uiPriority w:val="99"/>
    <w:semiHidden/>
    <w:unhideWhenUsed/>
    <w:rsid w:val="005A0592"/>
  </w:style>
  <w:style w:type="character" w:customStyle="1" w:styleId="CommentaireCar">
    <w:name w:val="Commentaire Car"/>
    <w:basedOn w:val="Policepardfaut"/>
    <w:link w:val="Commentaire"/>
    <w:uiPriority w:val="99"/>
    <w:semiHidden/>
    <w:rsid w:val="005A0592"/>
    <w:rPr>
      <w:rFonts w:ascii="Segoe UI" w:eastAsia="Times New Roman" w:hAnsi="Segoe UI" w:cs="Times New Roman"/>
      <w:sz w:val="20"/>
      <w:szCs w:val="20"/>
      <w:lang w:eastAsia="fr-FR"/>
    </w:rPr>
  </w:style>
  <w:style w:type="paragraph" w:customStyle="1" w:styleId="Default">
    <w:name w:val="Default"/>
    <w:qFormat/>
    <w:rsid w:val="005A0592"/>
    <w:pPr>
      <w:autoSpaceDE w:val="0"/>
      <w:autoSpaceDN w:val="0"/>
      <w:adjustRightInd w:val="0"/>
      <w:spacing w:after="0" w:line="240" w:lineRule="auto"/>
    </w:pPr>
    <w:rPr>
      <w:rFonts w:ascii="Segoe UI" w:hAnsi="Segoe UI" w:cs="Segoe UI"/>
      <w:color w:val="000000"/>
      <w:sz w:val="24"/>
      <w:szCs w:val="24"/>
    </w:rPr>
  </w:style>
  <w:style w:type="paragraph" w:customStyle="1" w:styleId="DveloppementEncart">
    <w:name w:val="Développement Encart"/>
    <w:basedOn w:val="Normal"/>
    <w:link w:val="DveloppementEncartCar"/>
    <w:qFormat/>
    <w:rsid w:val="005A0592"/>
    <w:pPr>
      <w:spacing w:before="60" w:after="60"/>
      <w:ind w:right="28"/>
    </w:pPr>
    <w:rPr>
      <w:rFonts w:ascii="Corbel" w:eastAsia="Batang" w:hAnsi="Corbel"/>
      <w:lang w:eastAsia="en-US"/>
    </w:rPr>
  </w:style>
  <w:style w:type="character" w:customStyle="1" w:styleId="DveloppementEncartCar">
    <w:name w:val="Développement Encart Car"/>
    <w:link w:val="DveloppementEncart"/>
    <w:qFormat/>
    <w:rsid w:val="005A0592"/>
    <w:rPr>
      <w:rFonts w:ascii="Corbel" w:eastAsia="Batang" w:hAnsi="Corbel" w:cs="Times New Roman"/>
      <w:sz w:val="20"/>
      <w:szCs w:val="20"/>
    </w:rPr>
  </w:style>
  <w:style w:type="character" w:styleId="lev">
    <w:name w:val="Strong"/>
    <w:basedOn w:val="Policepardfaut"/>
    <w:uiPriority w:val="22"/>
    <w:qFormat/>
    <w:rsid w:val="005A0592"/>
    <w:rPr>
      <w:b/>
      <w:bCs/>
    </w:rPr>
  </w:style>
  <w:style w:type="paragraph" w:customStyle="1" w:styleId="Emphasebleu">
    <w:name w:val="Emphase bleu"/>
    <w:basedOn w:val="DveloppementEncart"/>
    <w:qFormat/>
    <w:rsid w:val="005A0592"/>
    <w:rPr>
      <w:b/>
      <w:i/>
    </w:rPr>
  </w:style>
  <w:style w:type="character" w:styleId="Emphaseintense">
    <w:name w:val="Intense Emphasis"/>
    <w:uiPriority w:val="21"/>
    <w:qFormat/>
    <w:rsid w:val="005A0592"/>
    <w:rPr>
      <w:rFonts w:ascii="Segoe UI" w:hAnsi="Segoe UI" w:cs="Segoe UI"/>
      <w:i/>
      <w:color w:val="0070C0"/>
    </w:rPr>
  </w:style>
  <w:style w:type="paragraph" w:styleId="En-tte">
    <w:name w:val="header"/>
    <w:basedOn w:val="Normal"/>
    <w:link w:val="En-tteCar"/>
    <w:unhideWhenUsed/>
    <w:rsid w:val="005A0592"/>
    <w:pPr>
      <w:tabs>
        <w:tab w:val="center" w:pos="4536"/>
        <w:tab w:val="right" w:pos="9072"/>
      </w:tabs>
      <w:spacing w:before="0"/>
    </w:pPr>
  </w:style>
  <w:style w:type="character" w:customStyle="1" w:styleId="En-tteCar">
    <w:name w:val="En-tête Car"/>
    <w:basedOn w:val="Policepardfaut"/>
    <w:link w:val="En-tte"/>
    <w:rsid w:val="005A0592"/>
    <w:rPr>
      <w:rFonts w:ascii="Segoe UI" w:eastAsia="Times New Roman" w:hAnsi="Segoe UI" w:cs="Times New Roman"/>
      <w:sz w:val="20"/>
      <w:szCs w:val="20"/>
      <w:lang w:eastAsia="fr-FR"/>
    </w:rPr>
  </w:style>
  <w:style w:type="table" w:styleId="Grilledutableau">
    <w:name w:val="Table Grid"/>
    <w:basedOn w:val="TableauNormal"/>
    <w:uiPriority w:val="59"/>
    <w:rsid w:val="005A0592"/>
    <w:pPr>
      <w:spacing w:after="0" w:line="240" w:lineRule="auto"/>
    </w:pPr>
    <w:rPr>
      <w:rFonts w:ascii="Times New Roman" w:hAnsi="Times New Roman" w:cs="Times New Roman"/>
      <w:sz w:val="20"/>
      <w:szCs w:val="20"/>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llustration">
    <w:name w:val="Illustration"/>
    <w:basedOn w:val="Normal"/>
    <w:link w:val="IllustrationCar"/>
    <w:qFormat/>
    <w:rsid w:val="005A0592"/>
    <w:rPr>
      <w:color w:val="595959" w:themeColor="text1" w:themeTint="A6"/>
      <w:u w:val="single"/>
    </w:rPr>
  </w:style>
  <w:style w:type="character" w:customStyle="1" w:styleId="IllustrationCar">
    <w:name w:val="Illustration Car"/>
    <w:basedOn w:val="Policepardfaut"/>
    <w:link w:val="Illustration"/>
    <w:rsid w:val="005A0592"/>
    <w:rPr>
      <w:rFonts w:ascii="Segoe UI" w:eastAsia="Times New Roman" w:hAnsi="Segoe UI" w:cs="Times New Roman"/>
      <w:color w:val="595959" w:themeColor="text1" w:themeTint="A6"/>
      <w:sz w:val="20"/>
      <w:szCs w:val="20"/>
      <w:u w:val="single"/>
      <w:lang w:eastAsia="fr-FR"/>
    </w:rPr>
  </w:style>
  <w:style w:type="paragraph" w:customStyle="1" w:styleId="Introduction">
    <w:name w:val="Introduction"/>
    <w:basedOn w:val="Normal"/>
    <w:link w:val="IntroductionCar"/>
    <w:rsid w:val="005A0592"/>
    <w:pPr>
      <w:tabs>
        <w:tab w:val="right" w:pos="9072"/>
      </w:tabs>
      <w:ind w:right="-2"/>
    </w:pPr>
    <w:rPr>
      <w:rFonts w:ascii="Corbel" w:hAnsi="Corbel"/>
      <w:color w:val="1B758E"/>
      <w:lang w:eastAsia="en-US" w:bidi="en-US"/>
    </w:rPr>
  </w:style>
  <w:style w:type="character" w:customStyle="1" w:styleId="IntroductionCar">
    <w:name w:val="Introduction Car"/>
    <w:basedOn w:val="Policepardfaut"/>
    <w:link w:val="Introduction"/>
    <w:rsid w:val="005A0592"/>
    <w:rPr>
      <w:rFonts w:ascii="Corbel" w:eastAsia="Times New Roman" w:hAnsi="Corbel" w:cs="Times New Roman"/>
      <w:color w:val="1B758E"/>
      <w:sz w:val="20"/>
      <w:szCs w:val="20"/>
      <w:lang w:bidi="en-US"/>
    </w:rPr>
  </w:style>
  <w:style w:type="paragraph" w:styleId="Lgende">
    <w:name w:val="caption"/>
    <w:aliases w:val="Légende titre,Légende Car,Légende Car1 Car,Légende Car Car Car,Légende Car1 Car1,Légende Car Car Car1,Légende Car1 Car Car,Légende Car Car Car Car,Légende Car1,Légende Car Car,Légende Car Car Car Car Car,Légende1 Car,Légende2,Légende1"/>
    <w:basedOn w:val="Normal"/>
    <w:link w:val="LgendeCar2"/>
    <w:uiPriority w:val="35"/>
    <w:qFormat/>
    <w:rsid w:val="005A0592"/>
    <w:pPr>
      <w:suppressLineNumbers/>
      <w:spacing w:after="120"/>
    </w:pPr>
    <w:rPr>
      <w:rFonts w:ascii="Corbel" w:hAnsi="Corbel" w:cs="Tahoma"/>
      <w:i/>
      <w:iCs/>
      <w:sz w:val="24"/>
      <w:szCs w:val="24"/>
    </w:rPr>
  </w:style>
  <w:style w:type="character" w:customStyle="1" w:styleId="LgendeCar2">
    <w:name w:val="Légende Car2"/>
    <w:aliases w:val="Légende titre Car,Légende Car Car1,Légende Car1 Car Car1,Légende Car Car Car Car1,Légende Car1 Car1 Car,Légende Car Car Car1 Car,Légende Car1 Car Car Car,Légende Car Car Car Car Car1,Légende Car1 Car2,Légende Car Car Car2,Légende1 Car Car"/>
    <w:basedOn w:val="Policepardfaut"/>
    <w:link w:val="Lgende"/>
    <w:uiPriority w:val="35"/>
    <w:locked/>
    <w:rsid w:val="005A0592"/>
    <w:rPr>
      <w:rFonts w:ascii="Corbel" w:eastAsia="Times New Roman" w:hAnsi="Corbel" w:cs="Tahoma"/>
      <w:i/>
      <w:iCs/>
      <w:sz w:val="24"/>
      <w:szCs w:val="24"/>
      <w:lang w:eastAsia="fr-FR"/>
    </w:rPr>
  </w:style>
  <w:style w:type="table" w:styleId="Listeclaire-Accent5">
    <w:name w:val="Light List Accent 5"/>
    <w:basedOn w:val="TableauNormal"/>
    <w:uiPriority w:val="61"/>
    <w:rsid w:val="005A0592"/>
    <w:pPr>
      <w:spacing w:after="0" w:line="240" w:lineRule="auto"/>
    </w:pPr>
    <w:rPr>
      <w:rFonts w:ascii="Times New Roman" w:hAnsi="Times New Roman" w:cs="Times New Roman"/>
      <w:sz w:val="20"/>
      <w:szCs w:val="20"/>
      <w:lang w:eastAsia="fr-FR"/>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character" w:styleId="Marquedecommentaire">
    <w:name w:val="annotation reference"/>
    <w:basedOn w:val="Policepardfaut"/>
    <w:uiPriority w:val="99"/>
    <w:semiHidden/>
    <w:unhideWhenUsed/>
    <w:rsid w:val="005A0592"/>
    <w:rPr>
      <w:sz w:val="16"/>
      <w:szCs w:val="16"/>
    </w:rPr>
  </w:style>
  <w:style w:type="paragraph" w:styleId="NormalWeb">
    <w:name w:val="Normal (Web)"/>
    <w:basedOn w:val="Normal"/>
    <w:uiPriority w:val="99"/>
    <w:semiHidden/>
    <w:unhideWhenUsed/>
    <w:rsid w:val="005A0592"/>
    <w:pPr>
      <w:spacing w:before="100" w:beforeAutospacing="1" w:after="100" w:afterAutospacing="1"/>
      <w:jc w:val="left"/>
    </w:pPr>
    <w:rPr>
      <w:rFonts w:ascii="Times New Roman" w:eastAsiaTheme="minorEastAsia" w:hAnsi="Times New Roman"/>
      <w:sz w:val="24"/>
      <w:szCs w:val="24"/>
    </w:rPr>
  </w:style>
  <w:style w:type="paragraph" w:styleId="Notedebasdepage">
    <w:name w:val="footnote text"/>
    <w:basedOn w:val="Normal"/>
    <w:link w:val="NotedebasdepageCar"/>
    <w:uiPriority w:val="99"/>
    <w:rsid w:val="005A0592"/>
    <w:pPr>
      <w:widowControl w:val="0"/>
      <w:suppressLineNumbers/>
      <w:suppressAutoHyphens/>
      <w:spacing w:before="0"/>
      <w:ind w:left="283" w:hanging="283"/>
      <w:jc w:val="left"/>
    </w:pPr>
    <w:rPr>
      <w:rFonts w:ascii="Times New Roman" w:eastAsia="Lucida Sans Unicode" w:hAnsi="Times New Roman" w:cs="Tahoma"/>
      <w:color w:val="000000"/>
      <w:sz w:val="22"/>
      <w:szCs w:val="24"/>
      <w:lang w:val="en-US" w:eastAsia="ar-SA"/>
    </w:rPr>
  </w:style>
  <w:style w:type="character" w:customStyle="1" w:styleId="NotedebasdepageCar">
    <w:name w:val="Note de bas de page Car"/>
    <w:basedOn w:val="Policepardfaut"/>
    <w:link w:val="Notedebasdepage"/>
    <w:uiPriority w:val="99"/>
    <w:rsid w:val="005A0592"/>
    <w:rPr>
      <w:rFonts w:ascii="Times New Roman" w:eastAsia="Lucida Sans Unicode" w:hAnsi="Times New Roman" w:cs="Tahoma"/>
      <w:color w:val="000000"/>
      <w:szCs w:val="24"/>
      <w:lang w:val="en-US" w:eastAsia="ar-SA"/>
    </w:rPr>
  </w:style>
  <w:style w:type="paragraph" w:styleId="Objetducommentaire">
    <w:name w:val="annotation subject"/>
    <w:basedOn w:val="Commentaire"/>
    <w:next w:val="Commentaire"/>
    <w:link w:val="ObjetducommentaireCar"/>
    <w:uiPriority w:val="99"/>
    <w:semiHidden/>
    <w:unhideWhenUsed/>
    <w:rsid w:val="005A0592"/>
    <w:rPr>
      <w:b/>
      <w:bCs/>
    </w:rPr>
  </w:style>
  <w:style w:type="character" w:customStyle="1" w:styleId="ObjetducommentaireCar">
    <w:name w:val="Objet du commentaire Car"/>
    <w:basedOn w:val="CommentaireCar"/>
    <w:link w:val="Objetducommentaire"/>
    <w:uiPriority w:val="99"/>
    <w:semiHidden/>
    <w:rsid w:val="005A0592"/>
    <w:rPr>
      <w:rFonts w:ascii="Segoe UI" w:eastAsia="Times New Roman" w:hAnsi="Segoe UI" w:cs="Times New Roman"/>
      <w:b/>
      <w:bCs/>
      <w:sz w:val="20"/>
      <w:szCs w:val="20"/>
      <w:lang w:eastAsia="fr-FR"/>
    </w:rPr>
  </w:style>
  <w:style w:type="paragraph" w:styleId="Paragraphedeliste">
    <w:name w:val="List Paragraph"/>
    <w:aliases w:val="Sémaphores Puces,liste 1,Normal avec puces tirets"/>
    <w:basedOn w:val="Normal"/>
    <w:link w:val="ParagraphedelisteCar"/>
    <w:uiPriority w:val="34"/>
    <w:qFormat/>
    <w:rsid w:val="005A0592"/>
    <w:pPr>
      <w:ind w:left="720"/>
      <w:contextualSpacing/>
    </w:pPr>
  </w:style>
  <w:style w:type="character" w:customStyle="1" w:styleId="ParagraphedelisteCar">
    <w:name w:val="Paragraphe de liste Car"/>
    <w:aliases w:val="Sémaphores Puces Car,liste 1 Car,Normal avec puces tirets Car"/>
    <w:link w:val="Paragraphedeliste"/>
    <w:uiPriority w:val="34"/>
    <w:locked/>
    <w:rsid w:val="005A0592"/>
    <w:rPr>
      <w:rFonts w:ascii="Segoe UI" w:eastAsia="Times New Roman" w:hAnsi="Segoe UI" w:cs="Times New Roman"/>
      <w:sz w:val="20"/>
      <w:szCs w:val="20"/>
      <w:lang w:eastAsia="fr-FR"/>
    </w:rPr>
  </w:style>
  <w:style w:type="paragraph" w:styleId="Pieddepage">
    <w:name w:val="footer"/>
    <w:basedOn w:val="Normal"/>
    <w:link w:val="PieddepageCar"/>
    <w:uiPriority w:val="99"/>
    <w:unhideWhenUsed/>
    <w:rsid w:val="005A0592"/>
    <w:pPr>
      <w:tabs>
        <w:tab w:val="center" w:pos="4536"/>
        <w:tab w:val="right" w:pos="9072"/>
      </w:tabs>
      <w:spacing w:before="0"/>
    </w:pPr>
  </w:style>
  <w:style w:type="character" w:customStyle="1" w:styleId="PieddepageCar">
    <w:name w:val="Pied de page Car"/>
    <w:basedOn w:val="Policepardfaut"/>
    <w:link w:val="Pieddepage"/>
    <w:uiPriority w:val="99"/>
    <w:rsid w:val="005A0592"/>
    <w:rPr>
      <w:rFonts w:ascii="Segoe UI" w:eastAsia="Times New Roman" w:hAnsi="Segoe UI" w:cs="Times New Roman"/>
      <w:sz w:val="20"/>
      <w:szCs w:val="20"/>
      <w:lang w:eastAsia="fr-FR"/>
    </w:rPr>
  </w:style>
  <w:style w:type="paragraph" w:customStyle="1" w:styleId="Renvoi">
    <w:name w:val="Renvoi"/>
    <w:basedOn w:val="Normal"/>
    <w:qFormat/>
    <w:rsid w:val="005A0592"/>
    <w:pPr>
      <w:numPr>
        <w:numId w:val="2"/>
      </w:numPr>
      <w:tabs>
        <w:tab w:val="center" w:pos="4536"/>
        <w:tab w:val="left" w:pos="4820"/>
        <w:tab w:val="left" w:pos="6036"/>
      </w:tabs>
      <w:spacing w:before="40" w:after="120"/>
    </w:pPr>
    <w:rPr>
      <w:rFonts w:ascii="Calibri" w:hAnsi="Calibri"/>
      <w:color w:val="5AB299"/>
      <w:sz w:val="18"/>
      <w:lang w:eastAsia="en-US"/>
    </w:rPr>
  </w:style>
  <w:style w:type="paragraph" w:customStyle="1" w:styleId="Retraitencart">
    <w:name w:val="Retrait encart"/>
    <w:basedOn w:val="DveloppementEncart"/>
    <w:link w:val="RetraitencartCar"/>
    <w:qFormat/>
    <w:rsid w:val="005A0592"/>
    <w:pPr>
      <w:numPr>
        <w:numId w:val="3"/>
      </w:numPr>
      <w:contextualSpacing/>
    </w:pPr>
    <w:rPr>
      <w:rFonts w:eastAsiaTheme="minorEastAsia"/>
    </w:rPr>
  </w:style>
  <w:style w:type="character" w:customStyle="1" w:styleId="RetraitencartCar">
    <w:name w:val="Retrait encart Car"/>
    <w:basedOn w:val="DveloppementEncartCar"/>
    <w:link w:val="Retraitencart"/>
    <w:rsid w:val="005A0592"/>
    <w:rPr>
      <w:rFonts w:ascii="Corbel" w:eastAsiaTheme="minorEastAsia" w:hAnsi="Corbel" w:cs="Times New Roman"/>
      <w:sz w:val="20"/>
      <w:szCs w:val="20"/>
    </w:rPr>
  </w:style>
  <w:style w:type="paragraph" w:customStyle="1" w:styleId="Retrait20">
    <w:name w:val="Retrait2"/>
    <w:basedOn w:val="Normal"/>
    <w:link w:val="Retrait2Car"/>
    <w:qFormat/>
    <w:rsid w:val="005A0592"/>
    <w:pPr>
      <w:tabs>
        <w:tab w:val="left" w:pos="964"/>
      </w:tabs>
      <w:spacing w:before="80"/>
    </w:pPr>
    <w:rPr>
      <w:rFonts w:ascii="Corbel" w:hAnsi="Corbel"/>
    </w:rPr>
  </w:style>
  <w:style w:type="character" w:customStyle="1" w:styleId="Retrait2Car">
    <w:name w:val="Retrait2 Car"/>
    <w:link w:val="Retrait20"/>
    <w:locked/>
    <w:rsid w:val="005A0592"/>
    <w:rPr>
      <w:rFonts w:ascii="Corbel" w:eastAsia="Times New Roman" w:hAnsi="Corbel" w:cs="Times New Roman"/>
      <w:sz w:val="20"/>
      <w:szCs w:val="20"/>
      <w:lang w:eastAsia="fr-FR"/>
    </w:rPr>
  </w:style>
  <w:style w:type="paragraph" w:customStyle="1" w:styleId="retrait2">
    <w:name w:val="retrait2"/>
    <w:basedOn w:val="Retraitencart"/>
    <w:link w:val="retrait2Car0"/>
    <w:rsid w:val="005A0592"/>
    <w:pPr>
      <w:numPr>
        <w:ilvl w:val="1"/>
        <w:numId w:val="5"/>
      </w:numPr>
    </w:pPr>
  </w:style>
  <w:style w:type="character" w:customStyle="1" w:styleId="retrait2Car0">
    <w:name w:val="retrait2 Car"/>
    <w:basedOn w:val="RetraitencartCar"/>
    <w:link w:val="retrait2"/>
    <w:rsid w:val="005A0592"/>
    <w:rPr>
      <w:rFonts w:ascii="Corbel" w:eastAsiaTheme="minorEastAsia" w:hAnsi="Corbel" w:cs="Times New Roman"/>
      <w:sz w:val="20"/>
      <w:szCs w:val="20"/>
    </w:rPr>
  </w:style>
  <w:style w:type="paragraph" w:styleId="Sansinterligne">
    <w:name w:val="No Spacing"/>
    <w:uiPriority w:val="1"/>
    <w:qFormat/>
    <w:rsid w:val="005A0592"/>
    <w:pPr>
      <w:spacing w:after="0" w:line="240" w:lineRule="auto"/>
      <w:jc w:val="both"/>
    </w:pPr>
    <w:rPr>
      <w:rFonts w:ascii="Corbel" w:hAnsi="Corbel" w:cs="Times New Roman"/>
      <w:sz w:val="20"/>
      <w:szCs w:val="20"/>
      <w:lang w:eastAsia="fr-FR"/>
    </w:rPr>
  </w:style>
  <w:style w:type="paragraph" w:customStyle="1" w:styleId="Source">
    <w:name w:val="Source"/>
    <w:basedOn w:val="Normal"/>
    <w:qFormat/>
    <w:rsid w:val="005A0592"/>
    <w:pPr>
      <w:tabs>
        <w:tab w:val="center" w:pos="4536"/>
        <w:tab w:val="left" w:pos="4820"/>
        <w:tab w:val="left" w:pos="6036"/>
      </w:tabs>
      <w:spacing w:before="0" w:after="120"/>
    </w:pPr>
    <w:rPr>
      <w:rFonts w:ascii="Calibri" w:eastAsia="Batang" w:hAnsi="Calibri"/>
      <w:i/>
      <w:sz w:val="18"/>
      <w:lang w:eastAsia="en-US"/>
    </w:rPr>
  </w:style>
  <w:style w:type="paragraph" w:customStyle="1" w:styleId="Sources">
    <w:name w:val="Sources"/>
    <w:basedOn w:val="Normal"/>
    <w:link w:val="SourcesCar"/>
    <w:qFormat/>
    <w:rsid w:val="005A0592"/>
    <w:pPr>
      <w:tabs>
        <w:tab w:val="left" w:pos="680"/>
      </w:tabs>
      <w:spacing w:before="0"/>
    </w:pPr>
    <w:rPr>
      <w:i/>
      <w:sz w:val="18"/>
      <w:szCs w:val="18"/>
    </w:rPr>
  </w:style>
  <w:style w:type="character" w:customStyle="1" w:styleId="SourcesCar">
    <w:name w:val="Sources Car"/>
    <w:basedOn w:val="Policepardfaut"/>
    <w:link w:val="Sources"/>
    <w:rsid w:val="005A0592"/>
    <w:rPr>
      <w:rFonts w:ascii="Segoe UI" w:eastAsia="Times New Roman" w:hAnsi="Segoe UI" w:cs="Times New Roman"/>
      <w:i/>
      <w:sz w:val="18"/>
      <w:szCs w:val="18"/>
      <w:lang w:eastAsia="fr-FR"/>
    </w:rPr>
  </w:style>
  <w:style w:type="table" w:styleId="TableauGrille5Fonc-Accentuation1">
    <w:name w:val="Grid Table 5 Dark Accent 1"/>
    <w:basedOn w:val="TableauNormal"/>
    <w:uiPriority w:val="50"/>
    <w:rsid w:val="005A059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Textebrut1">
    <w:name w:val="Texte brut1"/>
    <w:basedOn w:val="Normal"/>
    <w:rsid w:val="005A0592"/>
    <w:pPr>
      <w:suppressAutoHyphens/>
      <w:spacing w:before="0"/>
      <w:jc w:val="left"/>
    </w:pPr>
    <w:rPr>
      <w:rFonts w:ascii="Courier New" w:hAnsi="Courier New" w:cs="Courier New"/>
      <w:lang w:eastAsia="ar-SA"/>
    </w:rPr>
  </w:style>
  <w:style w:type="paragraph" w:styleId="Textedebulles">
    <w:name w:val="Balloon Text"/>
    <w:basedOn w:val="Normal"/>
    <w:link w:val="TextedebullesCar"/>
    <w:uiPriority w:val="99"/>
    <w:semiHidden/>
    <w:unhideWhenUsed/>
    <w:rsid w:val="005A0592"/>
    <w:pPr>
      <w:spacing w:before="0"/>
    </w:pPr>
    <w:rPr>
      <w:rFonts w:cs="Segoe UI"/>
      <w:sz w:val="18"/>
      <w:szCs w:val="18"/>
    </w:rPr>
  </w:style>
  <w:style w:type="character" w:customStyle="1" w:styleId="TextedebullesCar">
    <w:name w:val="Texte de bulles Car"/>
    <w:basedOn w:val="Policepardfaut"/>
    <w:link w:val="Textedebulles"/>
    <w:uiPriority w:val="99"/>
    <w:semiHidden/>
    <w:rsid w:val="005A0592"/>
    <w:rPr>
      <w:rFonts w:ascii="Segoe UI" w:eastAsia="Times New Roman" w:hAnsi="Segoe UI" w:cs="Segoe UI"/>
      <w:sz w:val="18"/>
      <w:szCs w:val="18"/>
      <w:lang w:eastAsia="fr-FR"/>
    </w:rPr>
  </w:style>
  <w:style w:type="character" w:customStyle="1" w:styleId="Titre1Car">
    <w:name w:val="Titre 1 Car"/>
    <w:basedOn w:val="Policepardfaut"/>
    <w:link w:val="Titre1"/>
    <w:uiPriority w:val="9"/>
    <w:rsid w:val="005A0592"/>
    <w:rPr>
      <w:rFonts w:ascii="Segoe UI" w:eastAsia="Times New Roman" w:hAnsi="Segoe UI" w:cs="Times New Roman"/>
      <w:b/>
      <w:smallCaps/>
      <w:color w:val="333333"/>
      <w:sz w:val="40"/>
      <w:szCs w:val="20"/>
      <w:lang w:eastAsia="fr-FR"/>
    </w:rPr>
  </w:style>
  <w:style w:type="character" w:customStyle="1" w:styleId="Titre3Car">
    <w:name w:val="Titre 3 Car"/>
    <w:basedOn w:val="Policepardfaut"/>
    <w:link w:val="Titre3"/>
    <w:rsid w:val="005A0592"/>
    <w:rPr>
      <w:rFonts w:ascii="Segoe UI" w:eastAsia="Times New Roman" w:hAnsi="Segoe UI" w:cs="Times New Roman"/>
      <w:b/>
      <w:iCs/>
      <w:color w:val="333333"/>
      <w:sz w:val="28"/>
      <w:szCs w:val="20"/>
      <w:lang w:eastAsia="fr-FR"/>
    </w:rPr>
  </w:style>
  <w:style w:type="character" w:customStyle="1" w:styleId="Titre4Car">
    <w:name w:val="Titre 4 Car"/>
    <w:basedOn w:val="Policepardfaut"/>
    <w:link w:val="Titre4"/>
    <w:uiPriority w:val="9"/>
    <w:rsid w:val="005A0592"/>
    <w:rPr>
      <w:rFonts w:asciiTheme="majorHAnsi" w:eastAsiaTheme="majorEastAsia" w:hAnsiTheme="majorHAnsi" w:cstheme="majorBidi"/>
      <w:i/>
      <w:iCs/>
      <w:color w:val="2E74B5" w:themeColor="accent1" w:themeShade="BF"/>
      <w:sz w:val="20"/>
      <w:szCs w:val="20"/>
      <w:lang w:eastAsia="fr-FR"/>
    </w:rPr>
  </w:style>
  <w:style w:type="paragraph" w:customStyle="1" w:styleId="TITREILLUSTRATION">
    <w:name w:val="TITRE ILLUSTRATION"/>
    <w:basedOn w:val="Normal"/>
    <w:link w:val="TITREILLUSTRATIONCar"/>
    <w:qFormat/>
    <w:rsid w:val="005A0592"/>
    <w:pPr>
      <w:tabs>
        <w:tab w:val="right" w:pos="9072"/>
      </w:tabs>
      <w:ind w:right="-2"/>
    </w:pPr>
    <w:rPr>
      <w:rFonts w:ascii="Corbel" w:hAnsi="Corbel"/>
      <w:color w:val="1F3864" w:themeColor="accent5" w:themeShade="80"/>
      <w:lang w:eastAsia="en-US" w:bidi="en-US"/>
    </w:rPr>
  </w:style>
  <w:style w:type="character" w:customStyle="1" w:styleId="TITREILLUSTRATIONCar">
    <w:name w:val="TITRE ILLUSTRATION Car"/>
    <w:basedOn w:val="Policepardfaut"/>
    <w:link w:val="TITREILLUSTRATION"/>
    <w:rsid w:val="005A0592"/>
    <w:rPr>
      <w:rFonts w:ascii="Corbel" w:eastAsia="Times New Roman" w:hAnsi="Corbel" w:cs="Times New Roman"/>
      <w:color w:val="1F3864" w:themeColor="accent5" w:themeShade="80"/>
      <w:sz w:val="20"/>
      <w:szCs w:val="20"/>
      <w:lang w:bidi="en-US"/>
    </w:rPr>
  </w:style>
  <w:style w:type="character" w:customStyle="1" w:styleId="hgkelc">
    <w:name w:val="hgkelc"/>
    <w:basedOn w:val="Policepardfaut"/>
    <w:rsid w:val="00157431"/>
  </w:style>
  <w:style w:type="paragraph" w:customStyle="1" w:styleId="05Texte">
    <w:name w:val="05_Texte"/>
    <w:basedOn w:val="NormalWeb"/>
    <w:link w:val="05TexteCar"/>
    <w:qFormat/>
    <w:rsid w:val="007A7B6B"/>
    <w:pPr>
      <w:ind w:firstLine="708"/>
      <w:jc w:val="both"/>
    </w:pPr>
    <w:rPr>
      <w:rFonts w:asciiTheme="minorHAnsi" w:eastAsia="Times New Roman" w:hAnsiTheme="minorHAnsi"/>
      <w:sz w:val="20"/>
      <w:szCs w:val="20"/>
    </w:rPr>
  </w:style>
  <w:style w:type="character" w:customStyle="1" w:styleId="05TexteCar">
    <w:name w:val="05_Texte Car"/>
    <w:basedOn w:val="Policepardfaut"/>
    <w:link w:val="05Texte"/>
    <w:rsid w:val="007A7B6B"/>
    <w:rPr>
      <w:rFonts w:cs="Times New Roman"/>
      <w:sz w:val="20"/>
      <w:szCs w:val="20"/>
      <w:lang w:eastAsia="fr-FR"/>
    </w:rPr>
  </w:style>
  <w:style w:type="table" w:styleId="TableauGrille1Clair-Accentuation5">
    <w:name w:val="Grid Table 1 Light Accent 5"/>
    <w:basedOn w:val="TableauNormal"/>
    <w:uiPriority w:val="46"/>
    <w:rsid w:val="005276A8"/>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Corpsdetexte">
    <w:name w:val="Body Text"/>
    <w:basedOn w:val="Normal"/>
    <w:link w:val="CorpsdetexteCar"/>
    <w:semiHidden/>
    <w:rsid w:val="00AC32D4"/>
    <w:pPr>
      <w:spacing w:before="0" w:after="120"/>
    </w:pPr>
    <w:rPr>
      <w:rFonts w:ascii="Arial Narrow" w:hAnsi="Arial Narrow"/>
      <w:sz w:val="24"/>
      <w:szCs w:val="24"/>
    </w:rPr>
  </w:style>
  <w:style w:type="character" w:customStyle="1" w:styleId="CorpsdetexteCar">
    <w:name w:val="Corps de texte Car"/>
    <w:basedOn w:val="Policepardfaut"/>
    <w:link w:val="Corpsdetexte"/>
    <w:semiHidden/>
    <w:rsid w:val="00AC32D4"/>
    <w:rPr>
      <w:rFonts w:ascii="Arial Narrow" w:hAnsi="Arial Narrow" w:cs="Times New Roman"/>
      <w:sz w:val="24"/>
      <w:szCs w:val="24"/>
      <w:lang w:eastAsia="fr-FR"/>
    </w:rPr>
  </w:style>
  <w:style w:type="character" w:styleId="Lienhypertexte">
    <w:name w:val="Hyperlink"/>
    <w:uiPriority w:val="99"/>
    <w:rsid w:val="00AC32D4"/>
    <w:rPr>
      <w:rFonts w:ascii="Arial" w:hAnsi="Arial"/>
      <w:color w:val="0000FF"/>
      <w:sz w:val="20"/>
      <w:u w:val="single"/>
    </w:rPr>
  </w:style>
  <w:style w:type="paragraph" w:customStyle="1" w:styleId="Contenudetableau">
    <w:name w:val="Contenu de tableau"/>
    <w:basedOn w:val="Normal"/>
    <w:rsid w:val="00AC32D4"/>
    <w:pPr>
      <w:widowControl w:val="0"/>
      <w:suppressLineNumbers/>
      <w:suppressAutoHyphens/>
      <w:spacing w:before="113" w:after="113"/>
      <w:jc w:val="center"/>
    </w:pPr>
    <w:rPr>
      <w:rFonts w:ascii="Eurostar" w:eastAsia="Droid Sans Fallback" w:hAnsi="Eurostar" w:cs="Lohit Hindi"/>
      <w:color w:val="000000"/>
      <w:kern w:val="1"/>
      <w:sz w:val="18"/>
      <w:szCs w:val="24"/>
      <w:lang w:eastAsia="zh-CN" w:bidi="hi-IN"/>
    </w:rPr>
  </w:style>
  <w:style w:type="character" w:styleId="Accentuation">
    <w:name w:val="Emphasis"/>
    <w:rsid w:val="00AC32D4"/>
    <w:rPr>
      <w:i/>
      <w:iCs/>
    </w:rPr>
  </w:style>
  <w:style w:type="paragraph" w:customStyle="1" w:styleId="Dpart-Suivi">
    <w:name w:val="Départ - Suivi"/>
    <w:basedOn w:val="Normal"/>
    <w:next w:val="Normal"/>
    <w:rsid w:val="008D1D1A"/>
    <w:pPr>
      <w:suppressAutoHyphens/>
    </w:pPr>
    <w:rPr>
      <w:rFonts w:ascii="Arial Narrow" w:hAnsi="Arial Narrow"/>
      <w:i/>
      <w:sz w:val="22"/>
      <w:szCs w:val="24"/>
      <w:lang w:eastAsia="ar-SA"/>
    </w:rPr>
  </w:style>
  <w:style w:type="character" w:customStyle="1" w:styleId="markedcontent">
    <w:name w:val="markedcontent"/>
    <w:basedOn w:val="Policepardfaut"/>
    <w:rsid w:val="001061FB"/>
  </w:style>
  <w:style w:type="character" w:styleId="Textedelespacerserv">
    <w:name w:val="Placeholder Text"/>
    <w:basedOn w:val="Policepardfaut"/>
    <w:uiPriority w:val="99"/>
    <w:semiHidden/>
    <w:qFormat/>
    <w:rsid w:val="00BB4B67"/>
    <w:rPr>
      <w:color w:val="808080"/>
    </w:rPr>
  </w:style>
  <w:style w:type="paragraph" w:customStyle="1" w:styleId="Rpertoire">
    <w:name w:val="Répertoire"/>
    <w:basedOn w:val="Normal"/>
    <w:rsid w:val="0051086C"/>
    <w:pPr>
      <w:suppressLineNumbers/>
    </w:pPr>
    <w:rPr>
      <w:rFonts w:ascii="Arial Narrow" w:hAnsi="Arial Narrow" w:cs="Tahoma"/>
    </w:rPr>
  </w:style>
  <w:style w:type="paragraph" w:customStyle="1" w:styleId="Soustitredecouverture">
    <w:name w:val="Sous titre de couverture"/>
    <w:basedOn w:val="Normal"/>
    <w:rsid w:val="0051086C"/>
    <w:pPr>
      <w:framePr w:w="7088" w:h="4536" w:hSpace="142" w:wrap="notBeside" w:vAnchor="page" w:hAnchor="page" w:x="2439" w:y="8506"/>
      <w:pBdr>
        <w:bottom w:val="single" w:sz="4" w:space="24" w:color="0079C2"/>
      </w:pBdr>
      <w:spacing w:before="0"/>
      <w:ind w:left="567" w:right="567"/>
      <w:jc w:val="center"/>
    </w:pPr>
    <w:rPr>
      <w:rFonts w:ascii="Arial Narrow" w:hAnsi="Arial Narrow"/>
      <w:b/>
      <w:smallCaps/>
      <w:color w:val="4D4D4D"/>
      <w:sz w:val="32"/>
    </w:rPr>
  </w:style>
  <w:style w:type="paragraph" w:customStyle="1" w:styleId="Titrecouverture">
    <w:name w:val="Titre couverture"/>
    <w:basedOn w:val="Normal"/>
    <w:next w:val="Normal"/>
    <w:rsid w:val="0051086C"/>
    <w:pPr>
      <w:shd w:val="clear" w:color="auto" w:fill="7AC043"/>
      <w:spacing w:before="0"/>
      <w:jc w:val="center"/>
    </w:pPr>
    <w:rPr>
      <w:rFonts w:ascii="Century Gothic" w:hAnsi="Century Gothic"/>
      <w:b/>
      <w:smallCaps/>
      <w:color w:val="FFFFFF"/>
      <w:kern w:val="28"/>
      <w:sz w:val="52"/>
    </w:rPr>
  </w:style>
  <w:style w:type="paragraph" w:styleId="Liste">
    <w:name w:val="List"/>
    <w:basedOn w:val="Corpsdetexte"/>
    <w:semiHidden/>
    <w:rsid w:val="007014EE"/>
    <w:rPr>
      <w:rFonts w:cs="Tahoma"/>
      <w:sz w:val="20"/>
      <w:szCs w:val="20"/>
    </w:rPr>
  </w:style>
  <w:style w:type="paragraph" w:customStyle="1" w:styleId="Sous-titregris">
    <w:name w:val="Sous-titre gris"/>
    <w:basedOn w:val="Normal"/>
    <w:link w:val="Sous-titregrisCar"/>
    <w:qFormat/>
    <w:rsid w:val="007014EE"/>
    <w:pPr>
      <w:spacing w:before="200" w:after="40"/>
    </w:pPr>
    <w:rPr>
      <w:rFonts w:ascii="Arial Narrow" w:hAnsi="Arial Narrow"/>
      <w:color w:val="262626"/>
      <w:sz w:val="28"/>
    </w:rPr>
  </w:style>
  <w:style w:type="paragraph" w:customStyle="1" w:styleId="Emphaserouge">
    <w:name w:val="Emphase rouge"/>
    <w:basedOn w:val="Sous-titregris"/>
    <w:qFormat/>
    <w:rsid w:val="007014EE"/>
    <w:rPr>
      <w:color w:val="DE333F"/>
      <w:sz w:val="24"/>
    </w:rPr>
  </w:style>
  <w:style w:type="paragraph" w:customStyle="1" w:styleId="aRetrait">
    <w:name w:val="a.Retrait"/>
    <w:basedOn w:val="Normal"/>
    <w:link w:val="aRetraitCar"/>
    <w:qFormat/>
    <w:rsid w:val="007014EE"/>
    <w:pPr>
      <w:widowControl w:val="0"/>
      <w:numPr>
        <w:numId w:val="15"/>
      </w:numPr>
      <w:spacing w:before="0"/>
    </w:pPr>
    <w:rPr>
      <w:rFonts w:ascii="Corbel" w:eastAsia="SimSun" w:hAnsi="Corbel" w:cs="Arial"/>
      <w:b/>
      <w:color w:val="2F5496" w:themeColor="accent5" w:themeShade="BF"/>
      <w:szCs w:val="24"/>
      <w:lang w:eastAsia="hi-IN" w:bidi="hi-IN"/>
    </w:rPr>
  </w:style>
  <w:style w:type="character" w:customStyle="1" w:styleId="aRetraitCar">
    <w:name w:val="a.Retrait Car"/>
    <w:link w:val="aRetrait"/>
    <w:rsid w:val="007014EE"/>
    <w:rPr>
      <w:rFonts w:ascii="Corbel" w:eastAsia="SimSun" w:hAnsi="Corbel" w:cs="Arial"/>
      <w:b/>
      <w:color w:val="2F5496" w:themeColor="accent5" w:themeShade="BF"/>
      <w:sz w:val="20"/>
      <w:szCs w:val="24"/>
      <w:lang w:eastAsia="hi-IN" w:bidi="hi-IN"/>
    </w:rPr>
  </w:style>
  <w:style w:type="character" w:styleId="Emphaseple">
    <w:name w:val="Subtle Emphasis"/>
    <w:basedOn w:val="Policepardfaut"/>
    <w:uiPriority w:val="19"/>
    <w:qFormat/>
    <w:rsid w:val="007014EE"/>
    <w:rPr>
      <w:i/>
      <w:iCs/>
      <w:color w:val="808080" w:themeColor="text1" w:themeTint="7F"/>
    </w:rPr>
  </w:style>
  <w:style w:type="character" w:customStyle="1" w:styleId="Sous-titregrisCar">
    <w:name w:val="Sous-titre gris Car"/>
    <w:link w:val="Sous-titregris"/>
    <w:rsid w:val="007014EE"/>
    <w:rPr>
      <w:rFonts w:ascii="Arial Narrow" w:hAnsi="Arial Narrow" w:cs="Times New Roman"/>
      <w:color w:val="262626"/>
      <w:sz w:val="28"/>
      <w:szCs w:val="20"/>
      <w:lang w:eastAsia="fr-FR"/>
    </w:rPr>
  </w:style>
  <w:style w:type="paragraph" w:styleId="En-ttedetabledesmatires">
    <w:name w:val="TOC Heading"/>
    <w:basedOn w:val="Titre1"/>
    <w:next w:val="Normal"/>
    <w:uiPriority w:val="39"/>
    <w:unhideWhenUsed/>
    <w:qFormat/>
    <w:rsid w:val="00212BA1"/>
    <w:pPr>
      <w:keepLines/>
      <w:pBdr>
        <w:bottom w:val="none" w:sz="0" w:space="0" w:color="auto"/>
      </w:pBdr>
      <w:spacing w:after="0" w:line="259" w:lineRule="auto"/>
      <w:outlineLvl w:val="9"/>
    </w:pPr>
    <w:rPr>
      <w:rFonts w:asciiTheme="majorHAnsi" w:eastAsiaTheme="majorEastAsia" w:hAnsiTheme="majorHAnsi" w:cstheme="majorBidi"/>
      <w:b w:val="0"/>
      <w:smallCaps w:val="0"/>
      <w:color w:val="2E74B5" w:themeColor="accent1" w:themeShade="BF"/>
      <w:sz w:val="32"/>
      <w:szCs w:val="32"/>
    </w:rPr>
  </w:style>
  <w:style w:type="paragraph" w:styleId="TM1">
    <w:name w:val="toc 1"/>
    <w:basedOn w:val="Normal"/>
    <w:next w:val="Normal"/>
    <w:autoRedefine/>
    <w:uiPriority w:val="39"/>
    <w:unhideWhenUsed/>
    <w:rsid w:val="00212BA1"/>
    <w:pPr>
      <w:spacing w:after="100"/>
    </w:pPr>
  </w:style>
  <w:style w:type="table" w:customStyle="1" w:styleId="TableauGrille1Clair-Accentuation51">
    <w:name w:val="Tableau Grille 1 Clair - Accentuation 51"/>
    <w:basedOn w:val="TableauNormal"/>
    <w:next w:val="TableauGrille1Clair-Accentuation5"/>
    <w:uiPriority w:val="46"/>
    <w:rsid w:val="00D93669"/>
    <w:pPr>
      <w:spacing w:after="0" w:line="240" w:lineRule="auto"/>
    </w:pPr>
    <w:rPr>
      <w:rFonts w:ascii="Calibri" w:hAnsi="Calibri" w:cs="Times New Roma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482416">
      <w:bodyDiv w:val="1"/>
      <w:marLeft w:val="0"/>
      <w:marRight w:val="0"/>
      <w:marTop w:val="0"/>
      <w:marBottom w:val="0"/>
      <w:divBdr>
        <w:top w:val="none" w:sz="0" w:space="0" w:color="auto"/>
        <w:left w:val="none" w:sz="0" w:space="0" w:color="auto"/>
        <w:bottom w:val="none" w:sz="0" w:space="0" w:color="auto"/>
        <w:right w:val="none" w:sz="0" w:space="0" w:color="auto"/>
      </w:divBdr>
    </w:div>
    <w:div w:id="1155798472">
      <w:bodyDiv w:val="1"/>
      <w:marLeft w:val="0"/>
      <w:marRight w:val="0"/>
      <w:marTop w:val="0"/>
      <w:marBottom w:val="0"/>
      <w:divBdr>
        <w:top w:val="none" w:sz="0" w:space="0" w:color="auto"/>
        <w:left w:val="none" w:sz="0" w:space="0" w:color="auto"/>
        <w:bottom w:val="none" w:sz="0" w:space="0" w:color="auto"/>
        <w:right w:val="none" w:sz="0" w:space="0" w:color="auto"/>
      </w:divBdr>
    </w:div>
    <w:div w:id="1241479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BE6139-699C-416B-99BF-0AA1B8409C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1515</TotalTime>
  <Pages>1</Pages>
  <Words>1441</Words>
  <Characters>7930</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Adèle Chaize-Riondet</dc:creator>
  <cp:keywords/>
  <dc:description/>
  <cp:lastModifiedBy>Emma ROMERO</cp:lastModifiedBy>
  <cp:revision>166</cp:revision>
  <cp:lastPrinted>2024-06-13T08:49:00Z</cp:lastPrinted>
  <dcterms:created xsi:type="dcterms:W3CDTF">2023-07-07T08:19:00Z</dcterms:created>
  <dcterms:modified xsi:type="dcterms:W3CDTF">2024-06-13T08:49:00Z</dcterms:modified>
</cp:coreProperties>
</file>